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66FBEF30">
            <wp:simplePos x="0" y="0"/>
            <wp:positionH relativeFrom="column">
              <wp:posOffset>-63500</wp:posOffset>
            </wp:positionH>
            <wp:positionV relativeFrom="paragraph">
              <wp:posOffset>165100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22198667" w14:textId="77777777" w:rsidR="00412811" w:rsidRDefault="00412811" w:rsidP="00A26BEA">
      <w:pPr>
        <w:spacing w:before="0" w:after="120"/>
        <w:jc w:val="right"/>
        <w:rPr>
          <w:b/>
          <w:bCs/>
        </w:rPr>
      </w:pPr>
    </w:p>
    <w:p w14:paraId="21FB8F27" w14:textId="77777777" w:rsidR="00BE45DC" w:rsidRDefault="00BE45DC" w:rsidP="00A26BEA">
      <w:pPr>
        <w:spacing w:before="0" w:after="120"/>
        <w:jc w:val="right"/>
        <w:rPr>
          <w:b/>
          <w:bCs/>
        </w:rPr>
      </w:pPr>
    </w:p>
    <w:p w14:paraId="2BF7EBE7" w14:textId="46FAE3A2" w:rsidR="00A26BEA" w:rsidRDefault="00A26BEA" w:rsidP="00A26BEA">
      <w:pPr>
        <w:spacing w:before="0" w:after="120"/>
        <w:jc w:val="right"/>
      </w:pPr>
      <w:r w:rsidRPr="003566B0">
        <w:rPr>
          <w:b/>
          <w:bCs/>
        </w:rPr>
        <w:t>Meeting:</w:t>
      </w:r>
      <w:r w:rsidRPr="002C7104">
        <w:t xml:space="preserve"> </w:t>
      </w:r>
      <w:r>
        <w:t>Safer and Stronger Communities Board</w:t>
      </w:r>
    </w:p>
    <w:p w14:paraId="6121C3F3" w14:textId="61018793" w:rsidR="00A26BEA" w:rsidRPr="003566B0" w:rsidRDefault="00A26BEA" w:rsidP="00A26BEA">
      <w:pPr>
        <w:spacing w:before="0" w:after="120"/>
        <w:jc w:val="right"/>
        <w:rPr>
          <w:color w:val="FF0000"/>
        </w:rPr>
      </w:pPr>
      <w:r w:rsidRPr="003566B0">
        <w:rPr>
          <w:b/>
          <w:bCs/>
        </w:rPr>
        <w:t>Date:</w:t>
      </w:r>
      <w:r>
        <w:t xml:space="preserve"> Thursday 10 </w:t>
      </w:r>
      <w:r w:rsidR="00553C41">
        <w:t xml:space="preserve">November </w:t>
      </w:r>
      <w:r>
        <w:t>2022</w:t>
      </w:r>
    </w:p>
    <w:p w14:paraId="3291A231" w14:textId="77777777" w:rsidR="00D9589E" w:rsidRPr="00D9589E" w:rsidRDefault="00D9589E" w:rsidP="00D9589E"/>
    <w:p w14:paraId="75E4B33E" w14:textId="07C2DA3F" w:rsidR="002D013E" w:rsidRPr="00076282" w:rsidRDefault="0079275D" w:rsidP="004748F8">
      <w:pPr>
        <w:pStyle w:val="Heading1"/>
        <w:rPr>
          <w:sz w:val="32"/>
          <w:szCs w:val="32"/>
        </w:rPr>
      </w:pPr>
      <w:r>
        <w:rPr>
          <w:sz w:val="32"/>
          <w:szCs w:val="32"/>
        </w:rPr>
        <w:t>LGA Plan 2022-25</w:t>
      </w:r>
      <w:r w:rsidR="00F71D90">
        <w:rPr>
          <w:sz w:val="32"/>
          <w:szCs w:val="32"/>
        </w:rPr>
        <w:t xml:space="preserve"> and the priorities of other LGA Boards</w:t>
      </w:r>
    </w:p>
    <w:p w14:paraId="61BD5ACA" w14:textId="77777777" w:rsidR="00CA5846" w:rsidRPr="00535DBE" w:rsidRDefault="00B56823" w:rsidP="009F32C7">
      <w:pPr>
        <w:pStyle w:val="Heading2"/>
        <w:rPr>
          <w:sz w:val="24"/>
          <w:szCs w:val="24"/>
        </w:rPr>
      </w:pPr>
      <w:r w:rsidRPr="00535DBE">
        <w:rPr>
          <w:sz w:val="24"/>
          <w:szCs w:val="24"/>
        </w:rPr>
        <w:t>Purpose of report</w:t>
      </w:r>
    </w:p>
    <w:p w14:paraId="3850EE98" w14:textId="3F42C8D2" w:rsidR="00B56823" w:rsidRDefault="00B56823" w:rsidP="00425C92">
      <w:pPr>
        <w:spacing w:before="0" w:after="120" w:line="276" w:lineRule="auto"/>
        <w:ind w:firstLine="0"/>
      </w:pPr>
      <w:r>
        <w:t xml:space="preserve">For </w:t>
      </w:r>
      <w:r w:rsidR="00BC2867">
        <w:t>information</w:t>
      </w:r>
      <w:r w:rsidR="00A23F2B">
        <w:t>.</w:t>
      </w:r>
    </w:p>
    <w:p w14:paraId="13DE16B0" w14:textId="77777777" w:rsidR="00C77025" w:rsidRPr="00535DBE" w:rsidRDefault="00B56823" w:rsidP="00AE33E9">
      <w:pPr>
        <w:pStyle w:val="Heading2"/>
        <w:rPr>
          <w:sz w:val="24"/>
          <w:szCs w:val="24"/>
        </w:rPr>
      </w:pPr>
      <w:r w:rsidRPr="00535DBE">
        <w:rPr>
          <w:sz w:val="24"/>
          <w:szCs w:val="24"/>
        </w:rPr>
        <w:t>Summary</w:t>
      </w:r>
    </w:p>
    <w:p w14:paraId="0B350CC5" w14:textId="1B5D175C" w:rsidR="00BC2867" w:rsidRDefault="00BC2867" w:rsidP="00BC2867">
      <w:pPr>
        <w:spacing w:after="0"/>
        <w:ind w:firstLine="0"/>
      </w:pPr>
      <w:r>
        <w:rPr>
          <w:rFonts w:eastAsia="Times New Roman" w:cs="Arial"/>
        </w:rPr>
        <w:t xml:space="preserve">At the September Board meeting, Board members requested </w:t>
      </w:r>
      <w:r w:rsidR="004C43C9">
        <w:rPr>
          <w:rFonts w:eastAsia="Times New Roman" w:cs="Arial"/>
        </w:rPr>
        <w:t>information on</w:t>
      </w:r>
      <w:r>
        <w:rPr>
          <w:rFonts w:eastAsia="Times New Roman" w:cs="Arial"/>
        </w:rPr>
        <w:t xml:space="preserve"> the priorities of the LGA’s other </w:t>
      </w:r>
      <w:r w:rsidR="00161435">
        <w:rPr>
          <w:rFonts w:eastAsia="Times New Roman" w:cs="Arial"/>
        </w:rPr>
        <w:t xml:space="preserve">policy </w:t>
      </w:r>
      <w:r>
        <w:rPr>
          <w:rFonts w:eastAsia="Times New Roman" w:cs="Arial"/>
        </w:rPr>
        <w:t>Boards</w:t>
      </w:r>
      <w:r w:rsidR="00161435">
        <w:rPr>
          <w:rFonts w:eastAsia="Times New Roman" w:cs="Arial"/>
        </w:rPr>
        <w:t>, as well as the LGA’s business plan, to help understand how the proposed SSCB priorities align</w:t>
      </w:r>
      <w:r w:rsidR="00945805">
        <w:rPr>
          <w:rFonts w:eastAsia="Times New Roman" w:cs="Arial"/>
        </w:rPr>
        <w:t xml:space="preserve"> with wider organisational priorities. </w:t>
      </w:r>
      <w:r w:rsidR="00E464EA">
        <w:rPr>
          <w:rFonts w:eastAsia="Times New Roman" w:cs="Arial"/>
        </w:rPr>
        <w:t>T</w:t>
      </w:r>
      <w:r>
        <w:rPr>
          <w:rFonts w:eastAsia="Times New Roman" w:cs="Arial"/>
        </w:rPr>
        <w:t xml:space="preserve">his paper provides </w:t>
      </w:r>
      <w:r w:rsidR="00E464EA">
        <w:rPr>
          <w:rFonts w:eastAsia="Times New Roman" w:cs="Arial"/>
        </w:rPr>
        <w:t>an</w:t>
      </w:r>
      <w:r>
        <w:rPr>
          <w:rFonts w:eastAsia="Times New Roman" w:cs="Arial"/>
        </w:rPr>
        <w:t xml:space="preserve"> overview of th</w:t>
      </w:r>
      <w:r w:rsidR="00A063BE">
        <w:rPr>
          <w:rFonts w:eastAsia="Times New Roman" w:cs="Arial"/>
        </w:rPr>
        <w:t>ese</w:t>
      </w:r>
      <w:r>
        <w:rPr>
          <w:rFonts w:eastAsia="Times New Roman" w:cs="Arial"/>
        </w:rPr>
        <w:t xml:space="preserve"> priorities</w:t>
      </w:r>
      <w:r w:rsidR="00A063BE">
        <w:rPr>
          <w:rFonts w:eastAsia="Times New Roman" w:cs="Arial"/>
        </w:rPr>
        <w:t>, drawing out areas of joint interest with the SSCB.</w:t>
      </w:r>
    </w:p>
    <w:p w14:paraId="6427F619" w14:textId="77C2E610" w:rsidR="00987523" w:rsidRPr="00076282" w:rsidRDefault="00987523" w:rsidP="00C51037">
      <w:pPr>
        <w:ind w:firstLine="0"/>
        <w:rPr>
          <w:b/>
          <w:bCs/>
        </w:rPr>
      </w:pPr>
    </w:p>
    <w:p w14:paraId="6C19035B" w14:textId="7FDC70F1" w:rsidR="00987523" w:rsidRPr="00535DBE" w:rsidRDefault="00987523" w:rsidP="00425C92">
      <w:pPr>
        <w:pStyle w:val="Heading3"/>
        <w:pBdr>
          <w:top w:val="single" w:sz="4" w:space="5" w:color="auto"/>
          <w:left w:val="single" w:sz="4" w:space="0" w:color="auto"/>
          <w:bottom w:val="single" w:sz="4" w:space="5" w:color="auto"/>
          <w:right w:val="single" w:sz="4" w:space="4" w:color="auto"/>
        </w:pBdr>
        <w:ind w:firstLine="0"/>
        <w:rPr>
          <w:sz w:val="24"/>
        </w:rPr>
      </w:pPr>
      <w:r w:rsidRPr="00535DBE">
        <w:rPr>
          <w:sz w:val="24"/>
        </w:rPr>
        <w:t>Recommendations</w:t>
      </w:r>
    </w:p>
    <w:p w14:paraId="6C4B39ED" w14:textId="1BF1660C" w:rsidR="006E55FC" w:rsidRDefault="00B101EC" w:rsidP="00C80E6F">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7722AB">
        <w:rPr>
          <w:noProof/>
        </w:rPr>
        <w:t>Safer Stronger Communities Board</w:t>
      </w:r>
      <w:r w:rsidR="007722AB">
        <w:t xml:space="preserve"> </w:t>
      </w:r>
      <w:r w:rsidR="006E7C52">
        <w:t xml:space="preserve">1) </w:t>
      </w:r>
      <w:r w:rsidR="00C80E6F">
        <w:rPr>
          <w:rFonts w:eastAsia="Times New Roman" w:cs="Arial"/>
        </w:rPr>
        <w:t xml:space="preserve">reviews the </w:t>
      </w:r>
      <w:r w:rsidR="004844F5">
        <w:rPr>
          <w:rFonts w:eastAsia="Times New Roman" w:cs="Arial"/>
        </w:rPr>
        <w:t xml:space="preserve">LGA </w:t>
      </w:r>
      <w:r w:rsidR="00C80E6F">
        <w:rPr>
          <w:rFonts w:eastAsia="Times New Roman" w:cs="Arial"/>
        </w:rPr>
        <w:t>Plan and</w:t>
      </w:r>
      <w:r w:rsidR="006E55FC">
        <w:rPr>
          <w:rFonts w:eastAsia="Times New Roman" w:cs="Arial"/>
        </w:rPr>
        <w:t xml:space="preserve"> considers</w:t>
      </w:r>
      <w:r w:rsidR="00C80E6F">
        <w:rPr>
          <w:rFonts w:eastAsia="Times New Roman" w:cs="Arial"/>
        </w:rPr>
        <w:t xml:space="preserve"> any changes to its workplan to reflect the overall LGA direction and priorities</w:t>
      </w:r>
      <w:r w:rsidR="006E7C52">
        <w:rPr>
          <w:rFonts w:eastAsia="Times New Roman" w:cs="Arial"/>
        </w:rPr>
        <w:t xml:space="preserve"> and 2)</w:t>
      </w:r>
      <w:r w:rsidR="007012F7">
        <w:rPr>
          <w:rFonts w:eastAsia="Times New Roman" w:cs="Arial"/>
        </w:rPr>
        <w:t xml:space="preserve"> notes the </w:t>
      </w:r>
      <w:r w:rsidR="00E4518E">
        <w:rPr>
          <w:rFonts w:eastAsia="Times New Roman" w:cs="Arial"/>
        </w:rPr>
        <w:t xml:space="preserve">proposed priorities of other </w:t>
      </w:r>
      <w:r w:rsidR="00812AE6">
        <w:rPr>
          <w:rFonts w:eastAsia="Times New Roman" w:cs="Arial"/>
        </w:rPr>
        <w:t xml:space="preserve">LGA Boards and </w:t>
      </w:r>
      <w:r w:rsidR="00E4518E">
        <w:rPr>
          <w:rFonts w:eastAsia="Times New Roman" w:cs="Arial"/>
        </w:rPr>
        <w:t>areas of joint interest/</w:t>
      </w:r>
      <w:r w:rsidR="00F71DA9">
        <w:rPr>
          <w:rFonts w:eastAsia="Times New Roman" w:cs="Arial"/>
        </w:rPr>
        <w:t>potential overlap</w:t>
      </w:r>
      <w:r w:rsidR="00812AE6">
        <w:rPr>
          <w:rFonts w:eastAsia="Times New Roman" w:cs="Arial"/>
        </w:rPr>
        <w:t>.</w:t>
      </w:r>
    </w:p>
    <w:p w14:paraId="1104F067" w14:textId="77777777" w:rsidR="00C80E6F" w:rsidRDefault="00C80E6F" w:rsidP="00425C92">
      <w:pPr>
        <w:spacing w:before="0" w:after="120"/>
        <w:ind w:firstLine="0"/>
      </w:pPr>
    </w:p>
    <w:p w14:paraId="788AFFB2" w14:textId="2F8DC05C" w:rsidR="00B56823" w:rsidRDefault="00B56823" w:rsidP="00425C92">
      <w:pPr>
        <w:spacing w:before="0" w:after="120"/>
        <w:ind w:firstLine="0"/>
      </w:pPr>
      <w:r>
        <w:t xml:space="preserve">Contact officer: </w:t>
      </w:r>
      <w:r w:rsidR="007722AB">
        <w:t>Mark Norris</w:t>
      </w:r>
    </w:p>
    <w:p w14:paraId="078052B8" w14:textId="7D1F55F8" w:rsidR="00B56823" w:rsidRDefault="00B56823" w:rsidP="00425C92">
      <w:pPr>
        <w:spacing w:before="0" w:after="120"/>
        <w:ind w:firstLine="0"/>
      </w:pPr>
      <w:r>
        <w:t>Position:</w:t>
      </w:r>
      <w:r w:rsidR="0015534E">
        <w:t xml:space="preserve"> </w:t>
      </w:r>
      <w:r w:rsidR="0015534E" w:rsidRPr="007722AB">
        <w:t>Principal Policy Adviser</w:t>
      </w:r>
    </w:p>
    <w:p w14:paraId="60F2047B" w14:textId="0ADF8D99" w:rsidR="00B56823" w:rsidRDefault="00B56823" w:rsidP="00425C92">
      <w:pPr>
        <w:spacing w:before="0" w:after="120"/>
        <w:ind w:firstLine="0"/>
      </w:pPr>
      <w:r>
        <w:t xml:space="preserve">Phone no: </w:t>
      </w:r>
      <w:r w:rsidR="007722AB">
        <w:rPr>
          <w:lang w:eastAsia="en-GB"/>
        </w:rPr>
        <w:t>020 7664 3241</w:t>
      </w:r>
    </w:p>
    <w:p w14:paraId="3FA2BFE5" w14:textId="76E672D9" w:rsidR="00B56823" w:rsidRDefault="00B56823" w:rsidP="00425C92">
      <w:pPr>
        <w:spacing w:before="0" w:after="120"/>
        <w:ind w:firstLine="0"/>
        <w:rPr>
          <w:rStyle w:val="Hyperlink"/>
        </w:rPr>
      </w:pPr>
      <w:r>
        <w:t>Email:</w:t>
      </w:r>
      <w:r>
        <w:tab/>
      </w:r>
      <w:hyperlink r:id="rId12" w:history="1">
        <w:r w:rsidR="007722AB" w:rsidRPr="00451046">
          <w:rPr>
            <w:rStyle w:val="Hyperlink"/>
          </w:rPr>
          <w:t>mark.norris@local.gov.uk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3B54199F" w:rsidR="00076282" w:rsidRDefault="00076282" w:rsidP="004748F8">
      <w:pPr>
        <w:pStyle w:val="Heading1"/>
        <w:rPr>
          <w:sz w:val="32"/>
          <w:szCs w:val="32"/>
        </w:rPr>
      </w:pPr>
    </w:p>
    <w:p w14:paraId="6E96E455" w14:textId="03FC532E" w:rsidR="00076282" w:rsidRPr="00930D6E" w:rsidRDefault="00952689" w:rsidP="00930D6E">
      <w:pPr>
        <w:pStyle w:val="Heading1"/>
        <w:rPr>
          <w:sz w:val="32"/>
          <w:szCs w:val="32"/>
        </w:rPr>
      </w:pPr>
      <w:r>
        <w:rPr>
          <w:sz w:val="32"/>
          <w:szCs w:val="32"/>
        </w:rPr>
        <w:t>LGA Plan 2022-25</w:t>
      </w:r>
    </w:p>
    <w:p w14:paraId="61A88C88" w14:textId="632C24B2" w:rsidR="00E81AC5" w:rsidRPr="00D33EA1" w:rsidRDefault="00E81AC5" w:rsidP="00AE33E9">
      <w:pPr>
        <w:pStyle w:val="Heading2"/>
        <w:rPr>
          <w:sz w:val="24"/>
          <w:szCs w:val="24"/>
        </w:rPr>
      </w:pPr>
      <w:r w:rsidRPr="00D33EA1">
        <w:rPr>
          <w:sz w:val="24"/>
          <w:szCs w:val="24"/>
        </w:rPr>
        <w:t>Background</w:t>
      </w:r>
      <w:r w:rsidR="00101F83" w:rsidRPr="00D33EA1">
        <w:rPr>
          <w:sz w:val="24"/>
          <w:szCs w:val="24"/>
        </w:rPr>
        <w:t xml:space="preserve"> </w:t>
      </w:r>
      <w:r w:rsidR="00101F83" w:rsidRPr="00D33EA1">
        <w:rPr>
          <w:color w:val="C00000"/>
          <w:sz w:val="24"/>
          <w:szCs w:val="24"/>
        </w:rPr>
        <w:t xml:space="preserve"> </w:t>
      </w:r>
    </w:p>
    <w:p w14:paraId="12852CC9" w14:textId="084578B8" w:rsidR="00F71DA9" w:rsidRPr="002064C3" w:rsidRDefault="00F71DA9" w:rsidP="00F71DA9">
      <w:pPr>
        <w:pStyle w:val="ListParagraph"/>
        <w:numPr>
          <w:ilvl w:val="0"/>
          <w:numId w:val="26"/>
        </w:numPr>
        <w:spacing w:after="0"/>
      </w:pPr>
      <w:r w:rsidRPr="00F71DA9">
        <w:rPr>
          <w:rFonts w:eastAsia="Times New Roman" w:cs="Arial"/>
        </w:rPr>
        <w:t xml:space="preserve">At the September Board meeting, Board members requested </w:t>
      </w:r>
      <w:r w:rsidR="000243F2">
        <w:rPr>
          <w:rFonts w:eastAsia="Times New Roman" w:cs="Arial"/>
        </w:rPr>
        <w:t>information on</w:t>
      </w:r>
      <w:r w:rsidRPr="00F71DA9">
        <w:rPr>
          <w:rFonts w:eastAsia="Times New Roman" w:cs="Arial"/>
        </w:rPr>
        <w:t xml:space="preserve"> the priorities of the LGA’s other policy Boards, as well as the LGA’s business plan, to help understand how the proposed SSCB priorities (reattached at the end of this paper) align with wider organisational priorities. This paper provides an overview of these priorities, drawing out areas of joint interest with the SSCB.</w:t>
      </w:r>
    </w:p>
    <w:p w14:paraId="1A95DBD2" w14:textId="77777777" w:rsidR="002064C3" w:rsidRPr="00343447" w:rsidRDefault="002064C3" w:rsidP="002064C3">
      <w:pPr>
        <w:pStyle w:val="ListParagraph"/>
        <w:spacing w:after="0"/>
        <w:ind w:left="360" w:firstLine="0"/>
      </w:pPr>
    </w:p>
    <w:p w14:paraId="4C4A8AF6" w14:textId="1CC44168" w:rsidR="004844F5" w:rsidRPr="00A06277" w:rsidRDefault="00F71DA9" w:rsidP="003D188E">
      <w:pPr>
        <w:pStyle w:val="ListParagraph"/>
        <w:numPr>
          <w:ilvl w:val="0"/>
          <w:numId w:val="26"/>
        </w:numPr>
        <w:spacing w:line="264" w:lineRule="auto"/>
        <w:rPr>
          <w:rFonts w:cs="Arial"/>
          <w:b/>
          <w:bCs/>
        </w:rPr>
      </w:pPr>
      <w:r>
        <w:rPr>
          <w:rFonts w:cs="Arial"/>
        </w:rPr>
        <w:t>The</w:t>
      </w:r>
      <w:r w:rsidR="00D8425D" w:rsidRPr="0076004F">
        <w:rPr>
          <w:rFonts w:cs="Arial"/>
        </w:rPr>
        <w:t xml:space="preserve"> LGA’s</w:t>
      </w:r>
      <w:r w:rsidR="009F32C7" w:rsidRPr="0076004F">
        <w:rPr>
          <w:rFonts w:cs="Arial"/>
        </w:rPr>
        <w:t xml:space="preserve"> </w:t>
      </w:r>
      <w:r w:rsidR="00D8425D" w:rsidRPr="0076004F">
        <w:rPr>
          <w:rFonts w:cs="Arial"/>
        </w:rPr>
        <w:t xml:space="preserve">new 3-year business plan – </w:t>
      </w:r>
      <w:bookmarkStart w:id="0" w:name="_Hlk118107428"/>
      <w:r w:rsidR="00E96275" w:rsidRPr="00E96275">
        <w:fldChar w:fldCharType="begin"/>
      </w:r>
      <w:r w:rsidR="00E96275" w:rsidRPr="00E96275">
        <w:instrText xml:space="preserve"> HYPERLINK "https://www.local.gov.uk/publications/lga-business-plan-2022-2025" \l "our-business-how-we-work" </w:instrText>
      </w:r>
      <w:r w:rsidR="00E96275" w:rsidRPr="00E96275">
        <w:fldChar w:fldCharType="separate"/>
      </w:r>
      <w:r w:rsidR="00E96275" w:rsidRPr="0076004F">
        <w:rPr>
          <w:color w:val="0000FF"/>
          <w:u w:val="single"/>
        </w:rPr>
        <w:t xml:space="preserve">LGA </w:t>
      </w:r>
      <w:r w:rsidR="00376BF0" w:rsidRPr="0076004F">
        <w:rPr>
          <w:color w:val="0000FF"/>
          <w:u w:val="single"/>
        </w:rPr>
        <w:t>P</w:t>
      </w:r>
      <w:r w:rsidR="00E96275" w:rsidRPr="0076004F">
        <w:rPr>
          <w:color w:val="0000FF"/>
          <w:u w:val="single"/>
        </w:rPr>
        <w:t>lan 2022-2025</w:t>
      </w:r>
      <w:r w:rsidR="00E96275" w:rsidRPr="00E96275">
        <w:fldChar w:fldCharType="end"/>
      </w:r>
      <w:bookmarkEnd w:id="0"/>
      <w:r>
        <w:rPr>
          <w:rFonts w:cs="Arial"/>
        </w:rPr>
        <w:t xml:space="preserve"> – was signed off by the LGA Board on </w:t>
      </w:r>
      <w:r w:rsidR="009A0B06">
        <w:rPr>
          <w:rFonts w:cs="Arial"/>
        </w:rPr>
        <w:t xml:space="preserve">19 October. </w:t>
      </w:r>
      <w:r w:rsidR="00B050E1">
        <w:rPr>
          <w:rFonts w:cs="Arial"/>
        </w:rPr>
        <w:t xml:space="preserve">The </w:t>
      </w:r>
      <w:r w:rsidR="00D9208A">
        <w:rPr>
          <w:rFonts w:cs="Arial"/>
        </w:rPr>
        <w:t xml:space="preserve">document </w:t>
      </w:r>
      <w:r w:rsidR="00D9208A" w:rsidRPr="004844F5">
        <w:rPr>
          <w:rFonts w:cs="Arial"/>
        </w:rPr>
        <w:t>sets the direction for the LGA as a whole and includes the organisation’s policy and campaigning priorities for the period.</w:t>
      </w:r>
      <w:r w:rsidR="00343447">
        <w:rPr>
          <w:rFonts w:cs="Arial"/>
        </w:rPr>
        <w:t xml:space="preserve"> D</w:t>
      </w:r>
      <w:r w:rsidR="006343BC">
        <w:rPr>
          <w:rFonts w:cs="Arial"/>
        </w:rPr>
        <w:t xml:space="preserve">evelopment of the </w:t>
      </w:r>
      <w:r w:rsidR="00D9208A">
        <w:rPr>
          <w:rFonts w:cs="Arial"/>
        </w:rPr>
        <w:t>p</w:t>
      </w:r>
      <w:r w:rsidR="00B050E1">
        <w:rPr>
          <w:rFonts w:cs="Arial"/>
        </w:rPr>
        <w:t xml:space="preserve">lan was </w:t>
      </w:r>
      <w:r w:rsidR="006343BC">
        <w:rPr>
          <w:rFonts w:cs="Arial"/>
        </w:rPr>
        <w:t>led</w:t>
      </w:r>
      <w:r w:rsidR="00B050E1">
        <w:rPr>
          <w:rFonts w:cs="Arial"/>
        </w:rPr>
        <w:t xml:space="preserve"> by a joint officer/member task and finish group</w:t>
      </w:r>
      <w:r w:rsidR="006343BC">
        <w:rPr>
          <w:rFonts w:cs="Arial"/>
        </w:rPr>
        <w:t>, who</w:t>
      </w:r>
      <w:r w:rsidR="00B050E1">
        <w:rPr>
          <w:rFonts w:cs="Arial"/>
        </w:rPr>
        <w:t xml:space="preserve"> </w:t>
      </w:r>
      <w:r w:rsidR="006343BC">
        <w:rPr>
          <w:rFonts w:cs="Arial"/>
        </w:rPr>
        <w:t>considered</w:t>
      </w:r>
      <w:r w:rsidR="00B050E1">
        <w:rPr>
          <w:rFonts w:cs="Arial"/>
        </w:rPr>
        <w:t xml:space="preserve"> </w:t>
      </w:r>
      <w:r w:rsidR="00CB4352">
        <w:rPr>
          <w:rFonts w:cs="Arial"/>
        </w:rPr>
        <w:t xml:space="preserve">feedback from consultations and discussions with </w:t>
      </w:r>
      <w:r w:rsidR="006343BC">
        <w:rPr>
          <w:rFonts w:cs="Arial"/>
        </w:rPr>
        <w:t xml:space="preserve">member councils, </w:t>
      </w:r>
      <w:r w:rsidR="00CB4352">
        <w:rPr>
          <w:rFonts w:cs="Arial"/>
        </w:rPr>
        <w:t>lead members</w:t>
      </w:r>
      <w:r w:rsidR="006343BC">
        <w:rPr>
          <w:rFonts w:cs="Arial"/>
        </w:rPr>
        <w:t>,</w:t>
      </w:r>
      <w:r w:rsidR="00CB4352">
        <w:rPr>
          <w:rFonts w:cs="Arial"/>
        </w:rPr>
        <w:t xml:space="preserve"> group executives</w:t>
      </w:r>
      <w:r w:rsidR="00F3746C">
        <w:rPr>
          <w:rFonts w:cs="Arial"/>
        </w:rPr>
        <w:t xml:space="preserve"> and staff</w:t>
      </w:r>
      <w:r w:rsidR="00CB4352">
        <w:rPr>
          <w:rFonts w:cs="Arial"/>
        </w:rPr>
        <w:t>.</w:t>
      </w:r>
      <w:r w:rsidR="00D8425D" w:rsidRPr="00343447">
        <w:rPr>
          <w:rFonts w:cs="Arial"/>
        </w:rPr>
        <w:t xml:space="preserve"> </w:t>
      </w:r>
      <w:r w:rsidR="004E20C5" w:rsidRPr="00343447">
        <w:rPr>
          <w:rFonts w:cs="Arial"/>
        </w:rPr>
        <w:t xml:space="preserve">A copy of the Plan is attached at </w:t>
      </w:r>
      <w:r w:rsidR="004E20C5" w:rsidRPr="003D188E">
        <w:rPr>
          <w:rFonts w:cs="Arial"/>
        </w:rPr>
        <w:t>Appendix 1.</w:t>
      </w:r>
    </w:p>
    <w:p w14:paraId="0358D614" w14:textId="77777777" w:rsidR="00A06277" w:rsidRPr="00B6246C" w:rsidRDefault="00A06277" w:rsidP="00A06277">
      <w:pPr>
        <w:pStyle w:val="ListParagraph"/>
        <w:numPr>
          <w:ilvl w:val="0"/>
          <w:numId w:val="26"/>
        </w:numPr>
        <w:spacing w:after="0"/>
      </w:pPr>
      <w:r>
        <w:rPr>
          <w:rFonts w:eastAsia="Times New Roman" w:cs="Arial"/>
        </w:rPr>
        <w:t xml:space="preserve">As with the SSCB, other policy Boards have been working through the process of agreeing their priorities and work plans at their first meetings of the year. A </w:t>
      </w:r>
      <w:proofErr w:type="gramStart"/>
      <w:r>
        <w:rPr>
          <w:rFonts w:eastAsia="Times New Roman" w:cs="Arial"/>
        </w:rPr>
        <w:t>high level</w:t>
      </w:r>
      <w:proofErr w:type="gramEnd"/>
      <w:r>
        <w:rPr>
          <w:rFonts w:eastAsia="Times New Roman" w:cs="Arial"/>
        </w:rPr>
        <w:t xml:space="preserve"> summary of each Board’s priorities is included in the table in the next section, with supporting commentary outlining areas of possible overlap or joint interest.</w:t>
      </w:r>
    </w:p>
    <w:p w14:paraId="44B41686" w14:textId="6B31F5B7" w:rsidR="00D8425D" w:rsidRPr="00D33EA1" w:rsidRDefault="003D188E" w:rsidP="0076004F">
      <w:pPr>
        <w:ind w:firstLine="0"/>
        <w:rPr>
          <w:rFonts w:cs="Arial"/>
          <w:b/>
          <w:bCs/>
        </w:rPr>
      </w:pPr>
      <w:r>
        <w:rPr>
          <w:rFonts w:cs="Arial"/>
          <w:b/>
          <w:bCs/>
        </w:rPr>
        <w:t>LGA Plan</w:t>
      </w:r>
    </w:p>
    <w:p w14:paraId="4BD0F98E" w14:textId="28181BEE" w:rsidR="00D8425D" w:rsidRPr="00D8425D" w:rsidRDefault="00D8425D" w:rsidP="0076004F">
      <w:pPr>
        <w:pStyle w:val="ListParagraph"/>
        <w:numPr>
          <w:ilvl w:val="0"/>
          <w:numId w:val="26"/>
        </w:numPr>
        <w:rPr>
          <w:rFonts w:cs="Arial"/>
        </w:rPr>
      </w:pPr>
      <w:r w:rsidRPr="00D8425D">
        <w:rPr>
          <w:rFonts w:cs="Arial"/>
        </w:rPr>
        <w:t xml:space="preserve">The LGA Plan is </w:t>
      </w:r>
      <w:r w:rsidR="000C6CE7">
        <w:rPr>
          <w:rFonts w:cs="Arial"/>
        </w:rPr>
        <w:t>in</w:t>
      </w:r>
      <w:r w:rsidRPr="00D8425D">
        <w:rPr>
          <w:rFonts w:cs="Arial"/>
        </w:rPr>
        <w:t xml:space="preserve"> three parts:</w:t>
      </w:r>
    </w:p>
    <w:p w14:paraId="1F936B47" w14:textId="77777777" w:rsidR="00D8425D" w:rsidRPr="005C7D9E" w:rsidRDefault="00D8425D" w:rsidP="00D8425D">
      <w:pPr>
        <w:pStyle w:val="ListParagraph"/>
        <w:ind w:left="454" w:firstLine="0"/>
        <w:rPr>
          <w:rFonts w:cs="Arial"/>
          <w:b/>
          <w:bCs/>
        </w:rPr>
      </w:pPr>
      <w:r w:rsidRPr="005C7D9E">
        <w:rPr>
          <w:rFonts w:cs="Arial"/>
          <w:b/>
          <w:bCs/>
        </w:rPr>
        <w:t>Part 1:</w:t>
      </w:r>
    </w:p>
    <w:p w14:paraId="7587457A" w14:textId="023F771F" w:rsidR="00D8425D" w:rsidRPr="00E07811" w:rsidRDefault="0029377E" w:rsidP="000C6CE7">
      <w:pPr>
        <w:pStyle w:val="ListParagraph"/>
        <w:numPr>
          <w:ilvl w:val="0"/>
          <w:numId w:val="25"/>
        </w:numPr>
        <w:ind w:left="851" w:hanging="284"/>
        <w:rPr>
          <w:rFonts w:cs="Arial"/>
        </w:rPr>
      </w:pPr>
      <w:r>
        <w:rPr>
          <w:rFonts w:cs="Arial"/>
        </w:rPr>
        <w:t>S</w:t>
      </w:r>
      <w:r w:rsidR="00D8425D" w:rsidRPr="00D8425D">
        <w:rPr>
          <w:rFonts w:cs="Arial"/>
        </w:rPr>
        <w:t xml:space="preserve">ets out the </w:t>
      </w:r>
      <w:r w:rsidR="00D8425D" w:rsidRPr="00E07811">
        <w:rPr>
          <w:rFonts w:cs="Arial"/>
        </w:rPr>
        <w:t xml:space="preserve">LGA’s overarching vision and the golden thread that runs through the plan - to be the </w:t>
      </w:r>
      <w:r w:rsidR="00E07811">
        <w:rPr>
          <w:rFonts w:cs="Arial"/>
        </w:rPr>
        <w:t>v</w:t>
      </w:r>
      <w:r w:rsidR="00D8425D" w:rsidRPr="00E07811">
        <w:rPr>
          <w:rFonts w:cs="Arial"/>
        </w:rPr>
        <w:t xml:space="preserve">oice of </w:t>
      </w:r>
      <w:r w:rsidR="00E07811">
        <w:rPr>
          <w:rFonts w:cs="Arial"/>
        </w:rPr>
        <w:t>l</w:t>
      </w:r>
      <w:r w:rsidR="00D8425D" w:rsidRPr="00E07811">
        <w:rPr>
          <w:rFonts w:cs="Arial"/>
        </w:rPr>
        <w:t xml:space="preserve">ocal </w:t>
      </w:r>
      <w:r w:rsidR="00E07811">
        <w:rPr>
          <w:rFonts w:cs="Arial"/>
        </w:rPr>
        <w:t>g</w:t>
      </w:r>
      <w:r w:rsidR="00D8425D" w:rsidRPr="00E07811">
        <w:rPr>
          <w:rFonts w:cs="Arial"/>
        </w:rPr>
        <w:t>overnmen</w:t>
      </w:r>
      <w:r w:rsidR="00844B31" w:rsidRPr="00E07811">
        <w:rPr>
          <w:rFonts w:cs="Arial"/>
        </w:rPr>
        <w:t>t</w:t>
      </w:r>
      <w:r w:rsidRPr="00E07811">
        <w:rPr>
          <w:rFonts w:cs="Arial"/>
        </w:rPr>
        <w:t>.</w:t>
      </w:r>
    </w:p>
    <w:p w14:paraId="61814C7C" w14:textId="3932F8B1" w:rsidR="00D8425D" w:rsidRPr="00E07811" w:rsidRDefault="0029377E" w:rsidP="000C6CE7">
      <w:pPr>
        <w:pStyle w:val="ListParagraph"/>
        <w:numPr>
          <w:ilvl w:val="0"/>
          <w:numId w:val="25"/>
        </w:numPr>
        <w:ind w:left="851" w:hanging="284"/>
        <w:rPr>
          <w:rFonts w:cs="Arial"/>
        </w:rPr>
      </w:pPr>
      <w:r w:rsidRPr="00E07811">
        <w:rPr>
          <w:rFonts w:cs="Arial"/>
        </w:rPr>
        <w:t>S</w:t>
      </w:r>
      <w:r w:rsidR="00D8425D" w:rsidRPr="00E07811">
        <w:rPr>
          <w:rFonts w:cs="Arial"/>
        </w:rPr>
        <w:t xml:space="preserve">ets out our purpose - to </w:t>
      </w:r>
      <w:r w:rsidR="00E07811">
        <w:rPr>
          <w:rFonts w:cs="Arial"/>
        </w:rPr>
        <w:t>p</w:t>
      </w:r>
      <w:r w:rsidR="00D8425D" w:rsidRPr="00E07811">
        <w:rPr>
          <w:rFonts w:cs="Arial"/>
        </w:rPr>
        <w:t xml:space="preserve">romote, </w:t>
      </w:r>
      <w:r w:rsidR="00E07811">
        <w:rPr>
          <w:rFonts w:cs="Arial"/>
        </w:rPr>
        <w:t>i</w:t>
      </w:r>
      <w:r w:rsidR="00D8425D" w:rsidRPr="00E07811">
        <w:rPr>
          <w:rFonts w:cs="Arial"/>
        </w:rPr>
        <w:t xml:space="preserve">mprove and </w:t>
      </w:r>
      <w:r w:rsidR="00E07811">
        <w:rPr>
          <w:rFonts w:cs="Arial"/>
        </w:rPr>
        <w:t>s</w:t>
      </w:r>
      <w:r w:rsidR="00D8425D" w:rsidRPr="00E07811">
        <w:rPr>
          <w:rFonts w:cs="Arial"/>
        </w:rPr>
        <w:t>upport local government. These form the three pillars of all our external facing work</w:t>
      </w:r>
      <w:r w:rsidR="009B3151" w:rsidRPr="00E07811">
        <w:rPr>
          <w:rFonts w:cs="Arial"/>
        </w:rPr>
        <w:t>, including the work of the eight policy boards and the Improvement and Innovation Board</w:t>
      </w:r>
      <w:r w:rsidR="00844B31" w:rsidRPr="00E07811">
        <w:rPr>
          <w:rFonts w:cs="Arial"/>
        </w:rPr>
        <w:t>.</w:t>
      </w:r>
    </w:p>
    <w:p w14:paraId="386011EE" w14:textId="45C96C0C" w:rsidR="00D8425D" w:rsidRPr="00D8425D" w:rsidRDefault="0029377E" w:rsidP="000C6CE7">
      <w:pPr>
        <w:pStyle w:val="ListParagraph"/>
        <w:numPr>
          <w:ilvl w:val="0"/>
          <w:numId w:val="25"/>
        </w:numPr>
        <w:ind w:left="851" w:hanging="284"/>
        <w:rPr>
          <w:rFonts w:cs="Arial"/>
        </w:rPr>
      </w:pPr>
      <w:r w:rsidRPr="00E07811">
        <w:rPr>
          <w:rFonts w:cs="Arial"/>
        </w:rPr>
        <w:t>E</w:t>
      </w:r>
      <w:r w:rsidR="00D8425D" w:rsidRPr="00E07811">
        <w:rPr>
          <w:rFonts w:cs="Arial"/>
        </w:rPr>
        <w:t>mphasises our commitment to work more collaboratively across</w:t>
      </w:r>
      <w:r w:rsidR="00D8425D" w:rsidRPr="00D8425D">
        <w:rPr>
          <w:rFonts w:cs="Arial"/>
        </w:rPr>
        <w:t xml:space="preserve"> the whole of local government to strengthen our voice on behalf of the sector</w:t>
      </w:r>
      <w:r w:rsidR="00844B31">
        <w:rPr>
          <w:rFonts w:cs="Arial"/>
        </w:rPr>
        <w:t>.</w:t>
      </w:r>
    </w:p>
    <w:p w14:paraId="0D7E91D4" w14:textId="77777777" w:rsidR="00D8425D" w:rsidRPr="000C6CE7" w:rsidRDefault="00D8425D" w:rsidP="00D8425D">
      <w:pPr>
        <w:pStyle w:val="ListParagraph"/>
        <w:ind w:left="454" w:firstLine="0"/>
        <w:rPr>
          <w:rFonts w:cs="Arial"/>
          <w:b/>
          <w:bCs/>
        </w:rPr>
      </w:pPr>
      <w:r w:rsidRPr="000C6CE7">
        <w:rPr>
          <w:rFonts w:cs="Arial"/>
          <w:b/>
          <w:bCs/>
        </w:rPr>
        <w:t>Part 2:</w:t>
      </w:r>
    </w:p>
    <w:p w14:paraId="4BAD3D18" w14:textId="2312F02C" w:rsidR="00D8425D" w:rsidRPr="00E07811" w:rsidRDefault="00D8425D" w:rsidP="00A26506">
      <w:pPr>
        <w:pStyle w:val="ListParagraph"/>
        <w:numPr>
          <w:ilvl w:val="0"/>
          <w:numId w:val="25"/>
        </w:numPr>
        <w:ind w:left="851" w:hanging="284"/>
        <w:rPr>
          <w:rFonts w:cs="Arial"/>
        </w:rPr>
      </w:pPr>
      <w:r w:rsidRPr="00A26506">
        <w:rPr>
          <w:rFonts w:cs="Arial"/>
        </w:rPr>
        <w:t>Promoting</w:t>
      </w:r>
      <w:r w:rsidRPr="00A26506">
        <w:rPr>
          <w:rFonts w:cs="Arial"/>
          <w:b/>
          <w:bCs/>
        </w:rPr>
        <w:t xml:space="preserve"> </w:t>
      </w:r>
      <w:r w:rsidRPr="00E07811">
        <w:rPr>
          <w:rFonts w:cs="Arial"/>
        </w:rPr>
        <w:t xml:space="preserve">local government sets four policy and campaigning priorities </w:t>
      </w:r>
    </w:p>
    <w:p w14:paraId="500D9BB5" w14:textId="7072C341" w:rsidR="00D8425D" w:rsidRPr="00E07811" w:rsidRDefault="00D8425D" w:rsidP="00F3746C">
      <w:pPr>
        <w:pStyle w:val="ListParagraph"/>
        <w:numPr>
          <w:ilvl w:val="1"/>
          <w:numId w:val="27"/>
        </w:numPr>
        <w:spacing w:after="0"/>
        <w:ind w:left="1559" w:hanging="425"/>
        <w:rPr>
          <w:rFonts w:cs="Arial"/>
        </w:rPr>
      </w:pPr>
      <w:r w:rsidRPr="00E07811">
        <w:rPr>
          <w:rFonts w:cs="Arial"/>
        </w:rPr>
        <w:t xml:space="preserve">A sustainable financial future </w:t>
      </w:r>
    </w:p>
    <w:p w14:paraId="351B4E5D" w14:textId="7DB99363" w:rsidR="00D8425D" w:rsidRPr="00E07811" w:rsidRDefault="00D8425D" w:rsidP="00F3746C">
      <w:pPr>
        <w:pStyle w:val="ListParagraph"/>
        <w:numPr>
          <w:ilvl w:val="1"/>
          <w:numId w:val="27"/>
        </w:numPr>
        <w:spacing w:after="0"/>
        <w:ind w:left="1559" w:hanging="425"/>
        <w:rPr>
          <w:rFonts w:cs="Arial"/>
        </w:rPr>
      </w:pPr>
      <w:r w:rsidRPr="00E07811">
        <w:rPr>
          <w:rFonts w:cs="Arial"/>
        </w:rPr>
        <w:t>Stronger local economies, thriving local democracy</w:t>
      </w:r>
    </w:p>
    <w:p w14:paraId="739A16EE" w14:textId="53584A0E" w:rsidR="00D8425D" w:rsidRPr="00E07811" w:rsidRDefault="00D8425D" w:rsidP="00F3746C">
      <w:pPr>
        <w:pStyle w:val="ListParagraph"/>
        <w:numPr>
          <w:ilvl w:val="1"/>
          <w:numId w:val="27"/>
        </w:numPr>
        <w:spacing w:after="0"/>
        <w:ind w:left="1559" w:hanging="425"/>
        <w:rPr>
          <w:rFonts w:cs="Arial"/>
        </w:rPr>
      </w:pPr>
      <w:r w:rsidRPr="00E07811">
        <w:rPr>
          <w:rFonts w:cs="Arial"/>
        </w:rPr>
        <w:t>Putting people first</w:t>
      </w:r>
    </w:p>
    <w:p w14:paraId="796E9DCC" w14:textId="0CCD5583" w:rsidR="00D8425D" w:rsidRPr="00E07811" w:rsidRDefault="00D8425D" w:rsidP="00872EC8">
      <w:pPr>
        <w:pStyle w:val="ListParagraph"/>
        <w:numPr>
          <w:ilvl w:val="1"/>
          <w:numId w:val="27"/>
        </w:numPr>
        <w:ind w:left="1560" w:hanging="426"/>
        <w:rPr>
          <w:rFonts w:cs="Arial"/>
        </w:rPr>
      </w:pPr>
      <w:r w:rsidRPr="00E07811">
        <w:rPr>
          <w:rFonts w:cs="Arial"/>
        </w:rPr>
        <w:t>Championing climate change and local environments</w:t>
      </w:r>
      <w:r w:rsidR="0029377E" w:rsidRPr="00E07811">
        <w:rPr>
          <w:rFonts w:cs="Arial"/>
        </w:rPr>
        <w:t>.</w:t>
      </w:r>
    </w:p>
    <w:p w14:paraId="23A88655" w14:textId="53C96BCF" w:rsidR="00D8425D" w:rsidRPr="00E07811" w:rsidRDefault="00D8425D" w:rsidP="00A26506">
      <w:pPr>
        <w:pStyle w:val="ListParagraph"/>
        <w:numPr>
          <w:ilvl w:val="0"/>
          <w:numId w:val="25"/>
        </w:numPr>
        <w:ind w:left="851" w:hanging="284"/>
        <w:rPr>
          <w:rFonts w:cs="Arial"/>
        </w:rPr>
      </w:pPr>
      <w:r w:rsidRPr="00E07811">
        <w:rPr>
          <w:rFonts w:cs="Arial"/>
        </w:rPr>
        <w:t>Improving local government sets out our main grant-funded commitments</w:t>
      </w:r>
      <w:r w:rsidR="0029377E" w:rsidRPr="00E07811">
        <w:rPr>
          <w:rFonts w:cs="Arial"/>
        </w:rPr>
        <w:t>.</w:t>
      </w:r>
    </w:p>
    <w:p w14:paraId="13364206" w14:textId="664AD2F1" w:rsidR="00D8425D" w:rsidRPr="00A26506" w:rsidRDefault="00D8425D" w:rsidP="00A26506">
      <w:pPr>
        <w:pStyle w:val="ListParagraph"/>
        <w:numPr>
          <w:ilvl w:val="0"/>
          <w:numId w:val="25"/>
        </w:numPr>
        <w:ind w:left="851" w:hanging="284"/>
        <w:rPr>
          <w:rFonts w:cs="Arial"/>
        </w:rPr>
      </w:pPr>
      <w:r w:rsidRPr="00E07811">
        <w:rPr>
          <w:rFonts w:cs="Arial"/>
        </w:rPr>
        <w:t>Supporting local government highlights the excellent technical and professional support and services we deliver to councils in fields such as workforce, pensions, legal, communications and procurement and</w:t>
      </w:r>
      <w:r w:rsidRPr="00A26506">
        <w:rPr>
          <w:rFonts w:cs="Arial"/>
        </w:rPr>
        <w:t xml:space="preserve"> a range of place-based services.</w:t>
      </w:r>
    </w:p>
    <w:p w14:paraId="578D7547" w14:textId="77777777" w:rsidR="00D8425D" w:rsidRPr="00A26506" w:rsidRDefault="00D8425D" w:rsidP="00D8425D">
      <w:pPr>
        <w:pStyle w:val="ListParagraph"/>
        <w:ind w:left="454" w:firstLine="0"/>
        <w:rPr>
          <w:rFonts w:cs="Arial"/>
          <w:b/>
          <w:bCs/>
        </w:rPr>
      </w:pPr>
      <w:r w:rsidRPr="00A26506">
        <w:rPr>
          <w:rFonts w:cs="Arial"/>
          <w:b/>
          <w:bCs/>
        </w:rPr>
        <w:t xml:space="preserve">Part 3: </w:t>
      </w:r>
    </w:p>
    <w:p w14:paraId="11720F47" w14:textId="77777777" w:rsidR="00872EC8" w:rsidRDefault="00D8425D" w:rsidP="00872EC8">
      <w:pPr>
        <w:pStyle w:val="ListParagraph"/>
        <w:numPr>
          <w:ilvl w:val="0"/>
          <w:numId w:val="25"/>
        </w:numPr>
        <w:ind w:left="851" w:hanging="284"/>
        <w:rPr>
          <w:rFonts w:cs="Arial"/>
        </w:rPr>
      </w:pPr>
      <w:r w:rsidRPr="00E07811">
        <w:rPr>
          <w:rFonts w:cs="Arial"/>
        </w:rPr>
        <w:lastRenderedPageBreak/>
        <w:t>Our business – sets out our internal organisational priorities, including actions to support our political leadership and enhance our membership</w:t>
      </w:r>
      <w:r w:rsidRPr="00D8425D">
        <w:rPr>
          <w:rFonts w:cs="Arial"/>
        </w:rPr>
        <w:t>, increase our financial resilience and our commitment to Net Zero.</w:t>
      </w:r>
    </w:p>
    <w:p w14:paraId="752594D4" w14:textId="13979B9F" w:rsidR="004748F8" w:rsidRPr="001F7251" w:rsidRDefault="007C5863" w:rsidP="004748F8">
      <w:pPr>
        <w:pStyle w:val="Heading2"/>
        <w:rPr>
          <w:sz w:val="24"/>
          <w:szCs w:val="24"/>
        </w:rPr>
      </w:pPr>
      <w:r>
        <w:rPr>
          <w:sz w:val="24"/>
          <w:szCs w:val="24"/>
        </w:rPr>
        <w:t>D</w:t>
      </w:r>
      <w:r w:rsidR="006B543A">
        <w:rPr>
          <w:sz w:val="24"/>
          <w:szCs w:val="24"/>
        </w:rPr>
        <w:t>elivering the LGA Plan</w:t>
      </w:r>
      <w:r w:rsidR="00101F83" w:rsidRPr="001F7251">
        <w:rPr>
          <w:color w:val="C00000"/>
          <w:sz w:val="24"/>
          <w:szCs w:val="24"/>
        </w:rPr>
        <w:t xml:space="preserve"> </w:t>
      </w:r>
    </w:p>
    <w:p w14:paraId="737702F3" w14:textId="77777777" w:rsidR="007A3FD5" w:rsidRDefault="00234EAB" w:rsidP="009B6737">
      <w:pPr>
        <w:pStyle w:val="ListParagraph"/>
        <w:numPr>
          <w:ilvl w:val="0"/>
          <w:numId w:val="26"/>
        </w:numPr>
      </w:pPr>
      <w:r>
        <w:t xml:space="preserve">The SSCB’s work programme cuts across </w:t>
      </w:r>
      <w:r w:rsidR="008F3710">
        <w:t>the LGA’s purpose to</w:t>
      </w:r>
      <w:r w:rsidR="008F4CC5">
        <w:t xml:space="preserve"> promote and improve loca</w:t>
      </w:r>
      <w:r w:rsidR="00620F69">
        <w:t>l</w:t>
      </w:r>
      <w:r w:rsidR="008F4CC5">
        <w:t xml:space="preserve"> government, with </w:t>
      </w:r>
      <w:r w:rsidR="00620F69">
        <w:t xml:space="preserve">our planned activity </w:t>
      </w:r>
      <w:r w:rsidR="00634056">
        <w:t xml:space="preserve">a mixture of </w:t>
      </w:r>
      <w:r w:rsidR="00620F69">
        <w:t xml:space="preserve">highlighting the good work of councils in relevant policy areas, securing </w:t>
      </w:r>
      <w:r w:rsidR="00F1013F">
        <w:t xml:space="preserve">desirable changes to key policies and </w:t>
      </w:r>
      <w:proofErr w:type="gramStart"/>
      <w:r w:rsidR="00F1013F">
        <w:t>legislation</w:t>
      </w:r>
      <w:proofErr w:type="gramEnd"/>
      <w:r w:rsidR="00F1013F">
        <w:t xml:space="preserve"> and</w:t>
      </w:r>
      <w:r w:rsidR="00634056">
        <w:t xml:space="preserve"> </w:t>
      </w:r>
      <w:r w:rsidR="006069F9">
        <w:t>helping</w:t>
      </w:r>
      <w:r w:rsidR="00634056">
        <w:t xml:space="preserve"> councils improve their work in our policy areas. </w:t>
      </w:r>
    </w:p>
    <w:p w14:paraId="3119F4B1" w14:textId="3E4F20A0" w:rsidR="00523139" w:rsidRDefault="007A3FD5" w:rsidP="009B6737">
      <w:pPr>
        <w:pStyle w:val="ListParagraph"/>
        <w:numPr>
          <w:ilvl w:val="0"/>
          <w:numId w:val="26"/>
        </w:numPr>
      </w:pPr>
      <w:r>
        <w:t xml:space="preserve">The work of the SSCB falls within scope of the </w:t>
      </w:r>
      <w:r w:rsidR="005313CF">
        <w:t>theme</w:t>
      </w:r>
      <w:r w:rsidR="006E01C7">
        <w:t xml:space="preserve"> to champion climate change and local environments</w:t>
      </w:r>
      <w:r w:rsidR="00F26FDB">
        <w:t xml:space="preserve">, which is summarised by the statement: </w:t>
      </w:r>
    </w:p>
    <w:p w14:paraId="6308399F" w14:textId="3AC09B8A" w:rsidR="004748F8" w:rsidRDefault="00F26FDB" w:rsidP="00523139">
      <w:pPr>
        <w:pStyle w:val="ListParagraph"/>
        <w:numPr>
          <w:ilvl w:val="1"/>
          <w:numId w:val="26"/>
        </w:numPr>
      </w:pPr>
      <w:r>
        <w:t xml:space="preserve">Everyone wants to live in a green and safe local environment. Councils are actively working to address climate change while </w:t>
      </w:r>
      <w:r w:rsidR="00523139">
        <w:t xml:space="preserve">continuing to consider the broader environmental factors which help to make more sustainable communities. </w:t>
      </w:r>
    </w:p>
    <w:p w14:paraId="5F428ED8" w14:textId="77777777" w:rsidR="00FA6330" w:rsidRPr="003A1422" w:rsidRDefault="00F706F4" w:rsidP="009B6737">
      <w:pPr>
        <w:pStyle w:val="ListParagraph"/>
        <w:numPr>
          <w:ilvl w:val="0"/>
          <w:numId w:val="26"/>
        </w:numPr>
      </w:pPr>
      <w:r w:rsidRPr="003A1422">
        <w:t xml:space="preserve">Two specific priorities </w:t>
      </w:r>
      <w:r w:rsidR="00FA6330" w:rsidRPr="003A1422">
        <w:t>within the overall remit of SSCB are highlighted in the plan:</w:t>
      </w:r>
    </w:p>
    <w:p w14:paraId="01FC559F" w14:textId="77777777" w:rsidR="00744E35" w:rsidRPr="003A1422" w:rsidRDefault="00FA6330" w:rsidP="00FA6330">
      <w:pPr>
        <w:pStyle w:val="ListParagraph"/>
        <w:numPr>
          <w:ilvl w:val="1"/>
          <w:numId w:val="26"/>
        </w:numPr>
      </w:pPr>
      <w:r w:rsidRPr="003A1422">
        <w:t xml:space="preserve">Councils have the powers, </w:t>
      </w:r>
      <w:proofErr w:type="gramStart"/>
      <w:r w:rsidRPr="003A1422">
        <w:t>resources</w:t>
      </w:r>
      <w:proofErr w:type="gramEnd"/>
      <w:r w:rsidRPr="003A1422">
        <w:t xml:space="preserve"> and support to work with local partners to tackle crime and prevent people being drawn into criminal behaviour.</w:t>
      </w:r>
    </w:p>
    <w:p w14:paraId="1BC0EBAA" w14:textId="634AA59A" w:rsidR="00F706F4" w:rsidRPr="00CD1828" w:rsidRDefault="00744E35" w:rsidP="00FA6330">
      <w:pPr>
        <w:pStyle w:val="ListParagraph"/>
        <w:numPr>
          <w:ilvl w:val="1"/>
          <w:numId w:val="26"/>
        </w:numPr>
      </w:pPr>
      <w:r w:rsidRPr="003A1422">
        <w:t>The Government’s fire reform agenda is shaped to ensure fire and rescue au</w:t>
      </w:r>
      <w:r w:rsidRPr="00553C41">
        <w:t>thorities have the resources to address their challenges, including those from climate change</w:t>
      </w:r>
      <w:r w:rsidR="00CD7586">
        <w:t xml:space="preserve"> </w:t>
      </w:r>
      <w:r w:rsidRPr="00553C41">
        <w:t xml:space="preserve">(this </w:t>
      </w:r>
      <w:r w:rsidR="003A1422" w:rsidRPr="00553C41">
        <w:t xml:space="preserve">priority is overseen by the Fire Services Management </w:t>
      </w:r>
      <w:r w:rsidR="003A1422" w:rsidRPr="00CD1828">
        <w:t>Committee).</w:t>
      </w:r>
      <w:r w:rsidR="00FA6330" w:rsidRPr="00CD1828">
        <w:t xml:space="preserve"> </w:t>
      </w:r>
    </w:p>
    <w:p w14:paraId="0537C845" w14:textId="77777777" w:rsidR="002B6FF9" w:rsidRDefault="005B1A4D" w:rsidP="00CD7586">
      <w:pPr>
        <w:pStyle w:val="ListParagraph"/>
        <w:numPr>
          <w:ilvl w:val="0"/>
          <w:numId w:val="26"/>
        </w:numPr>
      </w:pPr>
      <w:r w:rsidRPr="00553C41">
        <w:t xml:space="preserve">Other organisational </w:t>
      </w:r>
      <w:r w:rsidR="00652347" w:rsidRPr="00553C41">
        <w:t>themes and activities</w:t>
      </w:r>
      <w:r w:rsidRPr="00553C41">
        <w:t xml:space="preserve"> highlighted in the plan are </w:t>
      </w:r>
      <w:r w:rsidR="00CD7586">
        <w:t xml:space="preserve">also </w:t>
      </w:r>
      <w:r w:rsidRPr="00553C41">
        <w:t xml:space="preserve">relevant to other aspects of work included within the </w:t>
      </w:r>
      <w:r w:rsidR="002E4A10" w:rsidRPr="00553C41">
        <w:t xml:space="preserve">SSCB work plan. For example, </w:t>
      </w:r>
      <w:r w:rsidR="006E33A4" w:rsidRPr="00553C41">
        <w:t>the workforce element of the LGA’s support for local government includes a</w:t>
      </w:r>
      <w:r w:rsidR="00E23006" w:rsidRPr="00553C41">
        <w:t xml:space="preserve"> priority to </w:t>
      </w:r>
      <w:r w:rsidR="00B36626" w:rsidRPr="00553C41">
        <w:t xml:space="preserve">promote national programmes that enhance and support the local government workforce and respond to significant skills shortages; this includes public protection professions such as environmental health and trading standards. </w:t>
      </w:r>
    </w:p>
    <w:p w14:paraId="64B9E078" w14:textId="684BA834" w:rsidR="00E84AF3" w:rsidRPr="00CD7586" w:rsidRDefault="00B36626" w:rsidP="00CD7586">
      <w:pPr>
        <w:pStyle w:val="ListParagraph"/>
        <w:numPr>
          <w:ilvl w:val="0"/>
          <w:numId w:val="26"/>
        </w:numPr>
      </w:pPr>
      <w:r w:rsidRPr="00553C41">
        <w:t xml:space="preserve">Similarly, the </w:t>
      </w:r>
      <w:r w:rsidR="00C233C3" w:rsidRPr="00553C41">
        <w:t xml:space="preserve">stronger local economies, thriving democracy </w:t>
      </w:r>
      <w:r w:rsidR="00652347" w:rsidRPr="00553C41">
        <w:t xml:space="preserve">theme includes </w:t>
      </w:r>
      <w:r w:rsidR="006677FB" w:rsidRPr="00553C41">
        <w:t>an ambition that councils engage in healthy and positive debate and display the highest standards of conduct</w:t>
      </w:r>
      <w:r w:rsidR="004B2ECA">
        <w:t xml:space="preserve">, and that </w:t>
      </w:r>
      <w:r w:rsidR="006677FB" w:rsidRPr="00553C41">
        <w:t>abuse and intimidation of councillors is taken seriously by all agencies and appropriate steps to prevent and respond to it when it occurs.</w:t>
      </w:r>
      <w:r w:rsidR="004B2ECA">
        <w:t xml:space="preserve"> T</w:t>
      </w:r>
      <w:r w:rsidR="00C872BC" w:rsidRPr="00553C41">
        <w:t>his work has</w:t>
      </w:r>
      <w:r w:rsidR="00C872BC">
        <w:t xml:space="preserve"> overlaps with </w:t>
      </w:r>
      <w:r w:rsidR="00260CD3">
        <w:t>intimidation</w:t>
      </w:r>
      <w:r w:rsidR="008B0E9D">
        <w:t xml:space="preserve"> linked to extremism, and therefore links to the programme of </w:t>
      </w:r>
      <w:r w:rsidR="00260CD3">
        <w:t>activity within the Board’s remit.</w:t>
      </w:r>
    </w:p>
    <w:p w14:paraId="749EBB52" w14:textId="77777777" w:rsidR="00E84AF3" w:rsidRPr="00E84AF3" w:rsidRDefault="00E84AF3" w:rsidP="00E84AF3">
      <w:pPr>
        <w:pStyle w:val="ListParagraph"/>
        <w:spacing w:after="0" w:line="240" w:lineRule="auto"/>
        <w:ind w:left="360" w:firstLine="0"/>
        <w:rPr>
          <w:highlight w:val="yellow"/>
        </w:rPr>
      </w:pPr>
    </w:p>
    <w:p w14:paraId="1A1CAF1B" w14:textId="08852151" w:rsidR="007C5863" w:rsidRPr="00E26074" w:rsidRDefault="006B543A" w:rsidP="00E84AF3">
      <w:pPr>
        <w:pStyle w:val="ListParagraph"/>
        <w:numPr>
          <w:ilvl w:val="0"/>
          <w:numId w:val="26"/>
        </w:numPr>
        <w:spacing w:after="0"/>
      </w:pPr>
      <w:r w:rsidRPr="006B543A">
        <w:t>The LGA Plan will remain a flexible document that</w:t>
      </w:r>
      <w:r w:rsidR="00923236">
        <w:t xml:space="preserve"> will be reviewed and updated </w:t>
      </w:r>
      <w:r w:rsidR="00923236" w:rsidRPr="00E26074">
        <w:t>annually</w:t>
      </w:r>
      <w:r w:rsidRPr="00E26074">
        <w:t xml:space="preserve">, </w:t>
      </w:r>
      <w:r w:rsidR="00923236" w:rsidRPr="00E26074">
        <w:t xml:space="preserve">and </w:t>
      </w:r>
      <w:r w:rsidRPr="00E26074">
        <w:t>with the agreement of the LGA Board, may be updated to reflect changing circumstances.</w:t>
      </w:r>
    </w:p>
    <w:p w14:paraId="765BE2E2" w14:textId="77777777" w:rsidR="00E84AF3" w:rsidRPr="00E26074" w:rsidRDefault="00E84AF3" w:rsidP="00E84AF3">
      <w:pPr>
        <w:spacing w:after="0"/>
        <w:ind w:firstLine="0"/>
      </w:pPr>
    </w:p>
    <w:p w14:paraId="6F1812D2" w14:textId="77777777" w:rsidR="00054B38" w:rsidRPr="00E26074" w:rsidRDefault="00E84AF3" w:rsidP="00960C59">
      <w:pPr>
        <w:pStyle w:val="ListParagraph"/>
        <w:numPr>
          <w:ilvl w:val="0"/>
          <w:numId w:val="26"/>
        </w:numPr>
        <w:spacing w:after="0" w:line="240" w:lineRule="auto"/>
      </w:pPr>
      <w:r w:rsidRPr="00E26074">
        <w:t>As the business plan is a</w:t>
      </w:r>
      <w:r w:rsidR="00E05E82" w:rsidRPr="00E26074">
        <w:t>n intentionally</w:t>
      </w:r>
      <w:r w:rsidRPr="00E26074">
        <w:t xml:space="preserve"> shorter and more focused document than previous iterations</w:t>
      </w:r>
      <w:r w:rsidR="0020551A" w:rsidRPr="00E26074">
        <w:t>,</w:t>
      </w:r>
      <w:r w:rsidR="00E05E82" w:rsidRPr="00E26074">
        <w:t xml:space="preserve"> there are fewer </w:t>
      </w:r>
      <w:r w:rsidR="003757B4" w:rsidRPr="00E26074">
        <w:t>policy priorities identified and a more limited number that are explicitly li</w:t>
      </w:r>
      <w:r w:rsidR="0071335C" w:rsidRPr="00E26074">
        <w:t>nk</w:t>
      </w:r>
      <w:r w:rsidR="0020551A" w:rsidRPr="00E26074">
        <w:t xml:space="preserve"> </w:t>
      </w:r>
      <w:r w:rsidR="0071335C" w:rsidRPr="00E26074">
        <w:t>with the remit of the SSCB. This provides the Board with significant scope for flexibility about the areas it wishes to prior</w:t>
      </w:r>
      <w:r w:rsidR="004C31F1" w:rsidRPr="00E26074">
        <w:t>itise</w:t>
      </w:r>
      <w:r w:rsidR="00054B38" w:rsidRPr="00E26074">
        <w:t>.</w:t>
      </w:r>
    </w:p>
    <w:p w14:paraId="09970258" w14:textId="77777777" w:rsidR="00054B38" w:rsidRPr="00E26074" w:rsidRDefault="00054B38" w:rsidP="00054B38">
      <w:pPr>
        <w:pStyle w:val="ListParagraph"/>
      </w:pPr>
    </w:p>
    <w:p w14:paraId="2742B083" w14:textId="54BD16A4" w:rsidR="00CD7586" w:rsidRPr="00E26074" w:rsidRDefault="00054B38" w:rsidP="00230F0B">
      <w:pPr>
        <w:pStyle w:val="ListParagraph"/>
        <w:numPr>
          <w:ilvl w:val="0"/>
          <w:numId w:val="26"/>
        </w:numPr>
        <w:spacing w:after="0" w:line="240" w:lineRule="auto"/>
      </w:pPr>
      <w:r w:rsidRPr="00E26074">
        <w:lastRenderedPageBreak/>
        <w:t>O</w:t>
      </w:r>
      <w:r w:rsidR="004C31F1" w:rsidRPr="00E26074">
        <w:t xml:space="preserve">fficers therefore believe that the work programme agreed by the Board in September is consistent with </w:t>
      </w:r>
      <w:r w:rsidR="00955ECA" w:rsidRPr="00E26074">
        <w:t xml:space="preserve">the LGA Plan, but members are invited to review the document and </w:t>
      </w:r>
      <w:r w:rsidR="00CD7586" w:rsidRPr="00E26074">
        <w:t>discuss any amendments of additions to the Board’s work programme to align with the LGA’s priorities.</w:t>
      </w:r>
    </w:p>
    <w:p w14:paraId="6351478F" w14:textId="77777777" w:rsidR="007C5863" w:rsidRDefault="007C5863" w:rsidP="007C5863">
      <w:pPr>
        <w:pStyle w:val="Heading2"/>
        <w:rPr>
          <w:color w:val="auto"/>
          <w:sz w:val="24"/>
          <w:szCs w:val="24"/>
        </w:rPr>
      </w:pPr>
      <w:r w:rsidRPr="00E26074">
        <w:rPr>
          <w:color w:val="auto"/>
          <w:sz w:val="24"/>
          <w:szCs w:val="24"/>
        </w:rPr>
        <w:t>Priorities of other Boards</w:t>
      </w:r>
      <w:r>
        <w:rPr>
          <w:color w:val="auto"/>
          <w:sz w:val="24"/>
          <w:szCs w:val="24"/>
        </w:rPr>
        <w:t xml:space="preserve"> </w:t>
      </w:r>
    </w:p>
    <w:p w14:paraId="2EBAEE4F" w14:textId="0D93484D" w:rsidR="00E03F3E" w:rsidRDefault="00A836F8" w:rsidP="00E03F3E">
      <w:pPr>
        <w:pStyle w:val="ListParagraph"/>
        <w:numPr>
          <w:ilvl w:val="0"/>
          <w:numId w:val="26"/>
        </w:numPr>
      </w:pPr>
      <w:r w:rsidRPr="007C5863">
        <w:t xml:space="preserve">During the September Board meeting, Board members requested </w:t>
      </w:r>
      <w:r w:rsidR="000D5D9B" w:rsidRPr="007C5863">
        <w:t xml:space="preserve">an overview of the priorities of other LGA Boards to ensure there was no duplication of work and to identify areas where joint work may be possible. </w:t>
      </w:r>
    </w:p>
    <w:p w14:paraId="664971BC" w14:textId="1671727A" w:rsidR="003419ED" w:rsidRDefault="003419ED" w:rsidP="0008356E">
      <w:pPr>
        <w:pStyle w:val="ListParagraph"/>
        <w:numPr>
          <w:ilvl w:val="0"/>
          <w:numId w:val="26"/>
        </w:numPr>
      </w:pPr>
      <w:r>
        <w:t xml:space="preserve">In general, we would typically expect the Community Wellbeing and Children and Young People’s Boards to have the </w:t>
      </w:r>
      <w:r w:rsidR="0026237A">
        <w:t xml:space="preserve">main </w:t>
      </w:r>
      <w:r w:rsidR="00747408">
        <w:t>linkages</w:t>
      </w:r>
      <w:r>
        <w:t xml:space="preserve"> with SSCB work, </w:t>
      </w:r>
      <w:r w:rsidR="00747408">
        <w:t>due to</w:t>
      </w:r>
      <w:r>
        <w:t xml:space="preserve"> </w:t>
      </w:r>
      <w:r w:rsidR="00747408">
        <w:t xml:space="preserve">overlaps on </w:t>
      </w:r>
      <w:r>
        <w:t xml:space="preserve">public health issues </w:t>
      </w:r>
      <w:r w:rsidR="0026237A">
        <w:t xml:space="preserve">(such as drugs, </w:t>
      </w:r>
      <w:proofErr w:type="gramStart"/>
      <w:r w:rsidR="0026237A">
        <w:t>alcohol</w:t>
      </w:r>
      <w:proofErr w:type="gramEnd"/>
      <w:r w:rsidR="0026237A">
        <w:t xml:space="preserve"> and gambling) </w:t>
      </w:r>
      <w:r>
        <w:t xml:space="preserve">and </w:t>
      </w:r>
      <w:r w:rsidR="00747408">
        <w:t>the</w:t>
      </w:r>
      <w:r w:rsidR="00ED1266">
        <w:t xml:space="preserve"> intersection </w:t>
      </w:r>
      <w:r w:rsidR="005D7A36">
        <w:t xml:space="preserve">between children engaging with children’s services and </w:t>
      </w:r>
      <w:r w:rsidR="009D778C">
        <w:t xml:space="preserve">domestic abuse, </w:t>
      </w:r>
      <w:r w:rsidR="005D7A36">
        <w:t>serious violen</w:t>
      </w:r>
      <w:r w:rsidR="009D778C">
        <w:t xml:space="preserve">t </w:t>
      </w:r>
      <w:r w:rsidR="005D7A36">
        <w:t>crime</w:t>
      </w:r>
      <w:r w:rsidR="009D778C">
        <w:t xml:space="preserve"> etc.</w:t>
      </w:r>
      <w:r w:rsidR="00E01E09">
        <w:t xml:space="preserve"> However, the SSC </w:t>
      </w:r>
      <w:proofErr w:type="gramStart"/>
      <w:r w:rsidR="00E01E09">
        <w:t>team work</w:t>
      </w:r>
      <w:proofErr w:type="gramEnd"/>
      <w:r w:rsidR="00E01E09">
        <w:t xml:space="preserve"> with a number of colleagues reporting to other policy boards on a wide range of issues (for example, transport and taxi licensing; modern slavery and housing etc).</w:t>
      </w:r>
    </w:p>
    <w:p w14:paraId="4D4F32EF" w14:textId="77777777" w:rsidR="00844484" w:rsidRDefault="000D5D9B" w:rsidP="00E03F3E">
      <w:pPr>
        <w:pStyle w:val="ListParagraph"/>
        <w:numPr>
          <w:ilvl w:val="0"/>
          <w:numId w:val="26"/>
        </w:numPr>
      </w:pPr>
      <w:r>
        <w:t xml:space="preserve">The table below provides </w:t>
      </w:r>
      <w:r w:rsidR="004325D8">
        <w:t xml:space="preserve">an overview of the priorities of each Board for this Board cycle. The impact of the cost-of-living crisis features as a priority for many boards, as does the levelling up agenda. </w:t>
      </w:r>
    </w:p>
    <w:p w14:paraId="4FAC71FA" w14:textId="5B2C2136" w:rsidR="000D5D9B" w:rsidRPr="000D5D9B" w:rsidRDefault="00C3419A" w:rsidP="00E03F3E">
      <w:pPr>
        <w:pStyle w:val="ListParagraph"/>
        <w:numPr>
          <w:ilvl w:val="0"/>
          <w:numId w:val="26"/>
        </w:numPr>
      </w:pPr>
      <w:r>
        <w:t xml:space="preserve">Members may be interested in the work of the </w:t>
      </w:r>
      <w:r w:rsidR="00812AE6">
        <w:t>C</w:t>
      </w:r>
      <w:r>
        <w:t xml:space="preserve">ommunity </w:t>
      </w:r>
      <w:r w:rsidR="00812AE6">
        <w:t>W</w:t>
      </w:r>
      <w:r>
        <w:t xml:space="preserve">ellbeing </w:t>
      </w:r>
      <w:r w:rsidR="00812AE6">
        <w:t>B</w:t>
      </w:r>
      <w:r>
        <w:t xml:space="preserve">oard around </w:t>
      </w:r>
      <w:r w:rsidR="00FB4A38">
        <w:t xml:space="preserve">public health and prevention, given the focus on the drug strategy, as well as the work of the City Regions Board around building resilient communities. </w:t>
      </w:r>
      <w:r w:rsidR="000D5D9B">
        <w:br/>
      </w:r>
    </w:p>
    <w:tbl>
      <w:tblPr>
        <w:tblStyle w:val="TableGrid1"/>
        <w:tblW w:w="0" w:type="auto"/>
        <w:tblLook w:val="04A0" w:firstRow="1" w:lastRow="0" w:firstColumn="1" w:lastColumn="0" w:noHBand="0" w:noVBand="1"/>
      </w:tblPr>
      <w:tblGrid>
        <w:gridCol w:w="4505"/>
        <w:gridCol w:w="4505"/>
      </w:tblGrid>
      <w:tr w:rsidR="000D5D9B" w:rsidRPr="0056764D" w14:paraId="49F6192F" w14:textId="77777777" w:rsidTr="00947A99">
        <w:tc>
          <w:tcPr>
            <w:tcW w:w="4505" w:type="dxa"/>
          </w:tcPr>
          <w:p w14:paraId="259D6E5F" w14:textId="77777777" w:rsidR="000D5D9B" w:rsidRPr="0056764D" w:rsidRDefault="000D5D9B" w:rsidP="00947A99">
            <w:pPr>
              <w:rPr>
                <w:rFonts w:eastAsia="Calibri" w:cs="Arial"/>
                <w:sz w:val="24"/>
                <w:szCs w:val="24"/>
              </w:rPr>
            </w:pPr>
            <w:r w:rsidRPr="0056764D">
              <w:rPr>
                <w:rFonts w:eastAsia="Calibri" w:cs="Arial"/>
                <w:sz w:val="24"/>
                <w:szCs w:val="24"/>
              </w:rPr>
              <w:t>Board</w:t>
            </w:r>
          </w:p>
        </w:tc>
        <w:tc>
          <w:tcPr>
            <w:tcW w:w="4505" w:type="dxa"/>
          </w:tcPr>
          <w:p w14:paraId="239FF13B" w14:textId="77777777" w:rsidR="000D5D9B" w:rsidRPr="0056764D" w:rsidRDefault="000D5D9B" w:rsidP="00947A99">
            <w:pPr>
              <w:rPr>
                <w:rFonts w:eastAsia="Calibri" w:cs="Arial"/>
                <w:sz w:val="24"/>
                <w:szCs w:val="24"/>
              </w:rPr>
            </w:pPr>
            <w:r w:rsidRPr="0056764D">
              <w:rPr>
                <w:rFonts w:eastAsia="Calibri" w:cs="Arial"/>
                <w:sz w:val="24"/>
                <w:szCs w:val="24"/>
              </w:rPr>
              <w:t>Priority</w:t>
            </w:r>
          </w:p>
        </w:tc>
      </w:tr>
      <w:tr w:rsidR="000D5D9B" w:rsidRPr="0056764D" w14:paraId="63C60E99" w14:textId="77777777" w:rsidTr="00947A99">
        <w:tc>
          <w:tcPr>
            <w:tcW w:w="4505" w:type="dxa"/>
            <w:vMerge w:val="restart"/>
          </w:tcPr>
          <w:p w14:paraId="0130F51F" w14:textId="77777777" w:rsidR="000D5D9B" w:rsidRPr="0056764D" w:rsidRDefault="000D5D9B" w:rsidP="00947A99">
            <w:pPr>
              <w:rPr>
                <w:rFonts w:eastAsia="Calibri" w:cs="Arial"/>
                <w:sz w:val="24"/>
                <w:szCs w:val="24"/>
              </w:rPr>
            </w:pPr>
            <w:r w:rsidRPr="0056764D">
              <w:rPr>
                <w:rFonts w:eastAsia="Calibri" w:cs="Arial"/>
                <w:sz w:val="24"/>
                <w:szCs w:val="24"/>
              </w:rPr>
              <w:t>Children and Young People’s Board</w:t>
            </w:r>
          </w:p>
        </w:tc>
        <w:tc>
          <w:tcPr>
            <w:tcW w:w="4505" w:type="dxa"/>
          </w:tcPr>
          <w:p w14:paraId="4E385FF5" w14:textId="0FF49F68" w:rsidR="000D5D9B" w:rsidRPr="0056764D" w:rsidRDefault="000D5D9B" w:rsidP="00947A99">
            <w:pPr>
              <w:rPr>
                <w:rFonts w:eastAsia="Calibri" w:cs="Arial"/>
                <w:sz w:val="24"/>
                <w:szCs w:val="24"/>
              </w:rPr>
            </w:pPr>
            <w:r w:rsidRPr="0056764D">
              <w:rPr>
                <w:rFonts w:eastAsia="Calibri" w:cs="Arial"/>
                <w:sz w:val="24"/>
                <w:szCs w:val="24"/>
              </w:rPr>
              <w:t xml:space="preserve">Cost-of-living crisis, including impact on organisations and </w:t>
            </w:r>
            <w:r w:rsidR="000A4721">
              <w:rPr>
                <w:rFonts w:eastAsia="Calibri" w:cs="Arial"/>
                <w:sz w:val="24"/>
                <w:szCs w:val="24"/>
              </w:rPr>
              <w:t>the</w:t>
            </w:r>
            <w:r w:rsidR="000A4721" w:rsidRPr="000A4721">
              <w:rPr>
                <w:rFonts w:eastAsia="Calibri" w:cs="Arial"/>
                <w:sz w:val="24"/>
                <w:szCs w:val="24"/>
              </w:rPr>
              <w:t xml:space="preserve"> links between deprivation, </w:t>
            </w:r>
            <w:proofErr w:type="gramStart"/>
            <w:r w:rsidR="000A4721" w:rsidRPr="000A4721">
              <w:rPr>
                <w:rFonts w:eastAsia="Calibri" w:cs="Arial"/>
                <w:sz w:val="24"/>
                <w:szCs w:val="24"/>
              </w:rPr>
              <w:t>poverty</w:t>
            </w:r>
            <w:proofErr w:type="gramEnd"/>
            <w:r w:rsidR="000A4721" w:rsidRPr="000A4721">
              <w:rPr>
                <w:rFonts w:eastAsia="Calibri" w:cs="Arial"/>
                <w:sz w:val="24"/>
                <w:szCs w:val="24"/>
              </w:rPr>
              <w:t xml:space="preserve"> and involvement with children’s social care</w:t>
            </w:r>
          </w:p>
        </w:tc>
      </w:tr>
      <w:tr w:rsidR="000D5D9B" w:rsidRPr="0056764D" w14:paraId="04CBB9E7" w14:textId="77777777" w:rsidTr="00947A99">
        <w:tc>
          <w:tcPr>
            <w:tcW w:w="4505" w:type="dxa"/>
            <w:vMerge/>
          </w:tcPr>
          <w:p w14:paraId="402AEBA8" w14:textId="77777777" w:rsidR="000D5D9B" w:rsidRPr="0056764D" w:rsidRDefault="000D5D9B" w:rsidP="00947A99">
            <w:pPr>
              <w:rPr>
                <w:rFonts w:eastAsia="Calibri" w:cs="Arial"/>
                <w:sz w:val="24"/>
                <w:szCs w:val="24"/>
              </w:rPr>
            </w:pPr>
          </w:p>
        </w:tc>
        <w:tc>
          <w:tcPr>
            <w:tcW w:w="4505" w:type="dxa"/>
          </w:tcPr>
          <w:p w14:paraId="499F7156" w14:textId="77777777" w:rsidR="000D5D9B" w:rsidRPr="0056764D" w:rsidRDefault="000D5D9B" w:rsidP="00947A99">
            <w:pPr>
              <w:rPr>
                <w:rFonts w:eastAsia="Calibri" w:cs="Arial"/>
                <w:sz w:val="24"/>
                <w:szCs w:val="24"/>
              </w:rPr>
            </w:pPr>
            <w:r w:rsidRPr="0056764D">
              <w:rPr>
                <w:rFonts w:eastAsia="Calibri" w:cs="Arial"/>
                <w:sz w:val="24"/>
                <w:szCs w:val="24"/>
              </w:rPr>
              <w:t>Independent review of children’s social care</w:t>
            </w:r>
          </w:p>
        </w:tc>
      </w:tr>
      <w:tr w:rsidR="000D5D9B" w:rsidRPr="0056764D" w14:paraId="66F3EA36" w14:textId="77777777" w:rsidTr="00947A99">
        <w:tc>
          <w:tcPr>
            <w:tcW w:w="4505" w:type="dxa"/>
            <w:vMerge/>
          </w:tcPr>
          <w:p w14:paraId="16A7753D" w14:textId="77777777" w:rsidR="000D5D9B" w:rsidRPr="0056764D" w:rsidRDefault="000D5D9B" w:rsidP="00947A99">
            <w:pPr>
              <w:rPr>
                <w:rFonts w:eastAsia="Calibri" w:cs="Arial"/>
                <w:sz w:val="24"/>
                <w:szCs w:val="24"/>
              </w:rPr>
            </w:pPr>
          </w:p>
        </w:tc>
        <w:tc>
          <w:tcPr>
            <w:tcW w:w="4505" w:type="dxa"/>
          </w:tcPr>
          <w:p w14:paraId="31495FFB" w14:textId="77777777" w:rsidR="000D5D9B" w:rsidRPr="0056764D" w:rsidRDefault="000D5D9B" w:rsidP="00947A99">
            <w:pPr>
              <w:rPr>
                <w:rFonts w:eastAsia="Calibri" w:cs="Arial"/>
                <w:sz w:val="24"/>
                <w:szCs w:val="24"/>
              </w:rPr>
            </w:pPr>
            <w:r w:rsidRPr="0056764D">
              <w:rPr>
                <w:rFonts w:eastAsia="Calibri" w:cs="Arial"/>
                <w:sz w:val="24"/>
                <w:szCs w:val="24"/>
              </w:rPr>
              <w:t>SEND Green paper</w:t>
            </w:r>
          </w:p>
        </w:tc>
      </w:tr>
      <w:tr w:rsidR="000D5D9B" w:rsidRPr="0056764D" w14:paraId="1751B2F0" w14:textId="77777777" w:rsidTr="00947A99">
        <w:tc>
          <w:tcPr>
            <w:tcW w:w="4505" w:type="dxa"/>
            <w:vMerge/>
          </w:tcPr>
          <w:p w14:paraId="366D0524" w14:textId="77777777" w:rsidR="000D5D9B" w:rsidRPr="0056764D" w:rsidRDefault="000D5D9B" w:rsidP="00947A99">
            <w:pPr>
              <w:rPr>
                <w:rFonts w:eastAsia="Calibri" w:cs="Arial"/>
                <w:sz w:val="24"/>
                <w:szCs w:val="24"/>
              </w:rPr>
            </w:pPr>
          </w:p>
        </w:tc>
        <w:tc>
          <w:tcPr>
            <w:tcW w:w="4505" w:type="dxa"/>
          </w:tcPr>
          <w:p w14:paraId="0F6B02A8" w14:textId="77777777" w:rsidR="000D5D9B" w:rsidRPr="0056764D" w:rsidRDefault="000D5D9B" w:rsidP="00947A99">
            <w:pPr>
              <w:rPr>
                <w:rFonts w:eastAsia="Calibri" w:cs="Arial"/>
                <w:sz w:val="24"/>
                <w:szCs w:val="24"/>
              </w:rPr>
            </w:pPr>
            <w:r w:rsidRPr="0056764D">
              <w:rPr>
                <w:rFonts w:eastAsia="Calibri" w:cs="Arial"/>
                <w:sz w:val="24"/>
                <w:szCs w:val="24"/>
              </w:rPr>
              <w:t>Funding</w:t>
            </w:r>
          </w:p>
        </w:tc>
      </w:tr>
      <w:tr w:rsidR="000D5D9B" w:rsidRPr="0056764D" w14:paraId="2FCEF23E" w14:textId="77777777" w:rsidTr="00947A99">
        <w:tc>
          <w:tcPr>
            <w:tcW w:w="4505" w:type="dxa"/>
            <w:vMerge w:val="restart"/>
          </w:tcPr>
          <w:p w14:paraId="344A54BD" w14:textId="77777777" w:rsidR="000D5D9B" w:rsidRPr="0056764D" w:rsidRDefault="000D5D9B" w:rsidP="00947A99">
            <w:pPr>
              <w:rPr>
                <w:rFonts w:eastAsia="Calibri" w:cs="Arial"/>
                <w:sz w:val="24"/>
                <w:szCs w:val="24"/>
              </w:rPr>
            </w:pPr>
            <w:r w:rsidRPr="0056764D">
              <w:rPr>
                <w:rFonts w:eastAsia="Calibri" w:cs="Arial"/>
                <w:sz w:val="24"/>
                <w:szCs w:val="24"/>
              </w:rPr>
              <w:t>Community Wellbeing Board</w:t>
            </w:r>
          </w:p>
        </w:tc>
        <w:tc>
          <w:tcPr>
            <w:tcW w:w="4505" w:type="dxa"/>
          </w:tcPr>
          <w:p w14:paraId="22A1AF4D" w14:textId="77777777" w:rsidR="000D5D9B" w:rsidRPr="0056764D" w:rsidRDefault="000D5D9B" w:rsidP="00947A99">
            <w:pPr>
              <w:rPr>
                <w:rFonts w:eastAsia="Calibri" w:cs="Arial"/>
                <w:sz w:val="24"/>
                <w:szCs w:val="24"/>
              </w:rPr>
            </w:pPr>
            <w:r w:rsidRPr="0056764D">
              <w:rPr>
                <w:rFonts w:eastAsia="Calibri" w:cs="Arial"/>
                <w:sz w:val="24"/>
                <w:szCs w:val="24"/>
              </w:rPr>
              <w:t>Adult social care</w:t>
            </w:r>
          </w:p>
        </w:tc>
      </w:tr>
      <w:tr w:rsidR="000D5D9B" w:rsidRPr="0056764D" w14:paraId="5A4B714B" w14:textId="77777777" w:rsidTr="00947A99">
        <w:tc>
          <w:tcPr>
            <w:tcW w:w="4505" w:type="dxa"/>
            <w:vMerge/>
          </w:tcPr>
          <w:p w14:paraId="31300320" w14:textId="77777777" w:rsidR="000D5D9B" w:rsidRPr="0056764D" w:rsidRDefault="000D5D9B" w:rsidP="00947A99">
            <w:pPr>
              <w:rPr>
                <w:rFonts w:eastAsia="Calibri" w:cs="Arial"/>
                <w:sz w:val="24"/>
                <w:szCs w:val="24"/>
              </w:rPr>
            </w:pPr>
          </w:p>
        </w:tc>
        <w:tc>
          <w:tcPr>
            <w:tcW w:w="4505" w:type="dxa"/>
          </w:tcPr>
          <w:p w14:paraId="19F4AADC" w14:textId="77777777" w:rsidR="000D5D9B" w:rsidRPr="0056764D" w:rsidRDefault="000D5D9B" w:rsidP="00947A99">
            <w:pPr>
              <w:rPr>
                <w:rFonts w:eastAsia="Calibri" w:cs="Arial"/>
                <w:sz w:val="24"/>
                <w:szCs w:val="24"/>
              </w:rPr>
            </w:pPr>
            <w:r w:rsidRPr="0056764D">
              <w:rPr>
                <w:rFonts w:eastAsia="Calibri" w:cs="Arial"/>
                <w:sz w:val="24"/>
                <w:szCs w:val="24"/>
              </w:rPr>
              <w:t>Integration</w:t>
            </w:r>
          </w:p>
        </w:tc>
      </w:tr>
      <w:tr w:rsidR="000D5D9B" w:rsidRPr="0056764D" w14:paraId="79586828" w14:textId="77777777" w:rsidTr="00947A99">
        <w:tc>
          <w:tcPr>
            <w:tcW w:w="4505" w:type="dxa"/>
            <w:vMerge/>
          </w:tcPr>
          <w:p w14:paraId="1B462D01" w14:textId="77777777" w:rsidR="000D5D9B" w:rsidRPr="0056764D" w:rsidRDefault="000D5D9B" w:rsidP="00947A99">
            <w:pPr>
              <w:rPr>
                <w:rFonts w:eastAsia="Calibri" w:cs="Arial"/>
                <w:sz w:val="24"/>
                <w:szCs w:val="24"/>
              </w:rPr>
            </w:pPr>
          </w:p>
        </w:tc>
        <w:tc>
          <w:tcPr>
            <w:tcW w:w="4505" w:type="dxa"/>
          </w:tcPr>
          <w:p w14:paraId="7404CE59" w14:textId="77777777" w:rsidR="00223371" w:rsidRDefault="000D5D9B" w:rsidP="00947A99">
            <w:pPr>
              <w:rPr>
                <w:rFonts w:eastAsia="Calibri" w:cs="Arial"/>
                <w:sz w:val="24"/>
                <w:szCs w:val="24"/>
              </w:rPr>
            </w:pPr>
            <w:r w:rsidRPr="0056764D">
              <w:rPr>
                <w:rFonts w:eastAsia="Calibri" w:cs="Arial"/>
                <w:sz w:val="24"/>
                <w:szCs w:val="24"/>
              </w:rPr>
              <w:t xml:space="preserve">Public health and prevention, including continuing efforts to improve public health services such as substance misuse services. </w:t>
            </w:r>
          </w:p>
          <w:p w14:paraId="25B05923" w14:textId="5E551638" w:rsidR="000D5D9B" w:rsidRPr="0056764D" w:rsidRDefault="00223371" w:rsidP="00426BD3">
            <w:pPr>
              <w:rPr>
                <w:rFonts w:eastAsia="Calibri" w:cs="Arial"/>
                <w:sz w:val="24"/>
                <w:szCs w:val="24"/>
              </w:rPr>
            </w:pPr>
            <w:r>
              <w:rPr>
                <w:rFonts w:eastAsia="Calibri" w:cs="Arial"/>
                <w:sz w:val="24"/>
                <w:szCs w:val="24"/>
              </w:rPr>
              <w:t>Working</w:t>
            </w:r>
            <w:r w:rsidR="000D5D9B" w:rsidRPr="0056764D">
              <w:rPr>
                <w:rFonts w:eastAsia="Calibri" w:cs="Arial"/>
                <w:sz w:val="24"/>
                <w:szCs w:val="24"/>
              </w:rPr>
              <w:t xml:space="preserve"> closely with the joint combating drugs unit to deliver on the aspects of the 10-year drugs strategy that relate to drug and alcohol treatment services commissioned by councils.</w:t>
            </w:r>
          </w:p>
        </w:tc>
      </w:tr>
      <w:tr w:rsidR="000D5D9B" w:rsidRPr="0056764D" w14:paraId="51178084" w14:textId="77777777" w:rsidTr="00947A99">
        <w:tc>
          <w:tcPr>
            <w:tcW w:w="4505" w:type="dxa"/>
            <w:vMerge/>
          </w:tcPr>
          <w:p w14:paraId="4FA0BB92" w14:textId="77777777" w:rsidR="000D5D9B" w:rsidRPr="0056764D" w:rsidRDefault="000D5D9B" w:rsidP="00947A99">
            <w:pPr>
              <w:rPr>
                <w:rFonts w:eastAsia="Calibri" w:cs="Arial"/>
                <w:sz w:val="24"/>
                <w:szCs w:val="24"/>
              </w:rPr>
            </w:pPr>
          </w:p>
        </w:tc>
        <w:tc>
          <w:tcPr>
            <w:tcW w:w="4505" w:type="dxa"/>
          </w:tcPr>
          <w:p w14:paraId="64489F63" w14:textId="77777777" w:rsidR="000D5D9B" w:rsidRPr="0056764D" w:rsidRDefault="000D5D9B" w:rsidP="00947A99">
            <w:pPr>
              <w:rPr>
                <w:rFonts w:eastAsia="Calibri" w:cs="Arial"/>
                <w:sz w:val="24"/>
                <w:szCs w:val="24"/>
              </w:rPr>
            </w:pPr>
            <w:r w:rsidRPr="0056764D">
              <w:rPr>
                <w:rFonts w:eastAsia="Calibri" w:cs="Arial"/>
                <w:sz w:val="24"/>
                <w:szCs w:val="24"/>
              </w:rPr>
              <w:t>Children’s health</w:t>
            </w:r>
          </w:p>
        </w:tc>
      </w:tr>
      <w:tr w:rsidR="000D5D9B" w:rsidRPr="0056764D" w14:paraId="60AABEBA" w14:textId="77777777" w:rsidTr="00947A99">
        <w:tc>
          <w:tcPr>
            <w:tcW w:w="4505" w:type="dxa"/>
            <w:vMerge/>
          </w:tcPr>
          <w:p w14:paraId="0DAA22D8" w14:textId="77777777" w:rsidR="000D5D9B" w:rsidRPr="0056764D" w:rsidRDefault="000D5D9B" w:rsidP="00947A99">
            <w:pPr>
              <w:rPr>
                <w:rFonts w:eastAsia="Calibri" w:cs="Arial"/>
                <w:sz w:val="24"/>
                <w:szCs w:val="24"/>
              </w:rPr>
            </w:pPr>
          </w:p>
        </w:tc>
        <w:tc>
          <w:tcPr>
            <w:tcW w:w="4505" w:type="dxa"/>
          </w:tcPr>
          <w:p w14:paraId="5307789B" w14:textId="497445BC" w:rsidR="000D5D9B" w:rsidRPr="0056764D" w:rsidRDefault="000D5D9B" w:rsidP="00947A99">
            <w:pPr>
              <w:rPr>
                <w:rFonts w:eastAsia="Calibri" w:cs="Arial"/>
                <w:sz w:val="24"/>
                <w:szCs w:val="24"/>
              </w:rPr>
            </w:pPr>
            <w:r w:rsidRPr="0056764D">
              <w:rPr>
                <w:rFonts w:eastAsia="Calibri" w:cs="Arial"/>
                <w:sz w:val="24"/>
                <w:szCs w:val="24"/>
              </w:rPr>
              <w:t>People in vulnerable circumstances</w:t>
            </w:r>
            <w:r w:rsidR="004325D8">
              <w:rPr>
                <w:rFonts w:eastAsia="Calibri" w:cs="Arial"/>
                <w:sz w:val="24"/>
                <w:szCs w:val="24"/>
              </w:rPr>
              <w:t>, including mental health, learning disabilities and carers, amongst other areas.</w:t>
            </w:r>
          </w:p>
        </w:tc>
      </w:tr>
      <w:tr w:rsidR="000D5D9B" w:rsidRPr="0056764D" w14:paraId="6D3FFAA0" w14:textId="77777777" w:rsidTr="00947A99">
        <w:tc>
          <w:tcPr>
            <w:tcW w:w="4505" w:type="dxa"/>
            <w:vMerge w:val="restart"/>
          </w:tcPr>
          <w:p w14:paraId="1163DF68" w14:textId="77777777" w:rsidR="000D5D9B" w:rsidRPr="0056764D" w:rsidRDefault="000D5D9B" w:rsidP="00947A99">
            <w:pPr>
              <w:rPr>
                <w:rFonts w:eastAsia="Calibri" w:cs="Arial"/>
                <w:sz w:val="24"/>
                <w:szCs w:val="24"/>
              </w:rPr>
            </w:pPr>
            <w:r w:rsidRPr="0056764D">
              <w:rPr>
                <w:rFonts w:eastAsia="Calibri" w:cs="Arial"/>
                <w:sz w:val="24"/>
                <w:szCs w:val="24"/>
              </w:rPr>
              <w:t>Culture, Tourism and Sport Board</w:t>
            </w:r>
          </w:p>
        </w:tc>
        <w:tc>
          <w:tcPr>
            <w:tcW w:w="4505" w:type="dxa"/>
          </w:tcPr>
          <w:p w14:paraId="3F7E5998" w14:textId="77777777" w:rsidR="000D5D9B" w:rsidRPr="0056764D" w:rsidRDefault="000D5D9B" w:rsidP="00947A99">
            <w:pPr>
              <w:rPr>
                <w:rFonts w:eastAsia="Calibri" w:cs="Arial"/>
                <w:sz w:val="24"/>
                <w:szCs w:val="24"/>
              </w:rPr>
            </w:pPr>
            <w:r w:rsidRPr="0056764D">
              <w:rPr>
                <w:rFonts w:eastAsia="Calibri" w:cs="Arial"/>
                <w:sz w:val="24"/>
                <w:szCs w:val="24"/>
              </w:rPr>
              <w:t>Cost of living and financial pressures</w:t>
            </w:r>
          </w:p>
        </w:tc>
      </w:tr>
      <w:tr w:rsidR="000D5D9B" w:rsidRPr="0056764D" w14:paraId="3C37BE22" w14:textId="77777777" w:rsidTr="00947A99">
        <w:tc>
          <w:tcPr>
            <w:tcW w:w="4505" w:type="dxa"/>
            <w:vMerge/>
          </w:tcPr>
          <w:p w14:paraId="4A7EC73B" w14:textId="77777777" w:rsidR="000D5D9B" w:rsidRPr="0056764D" w:rsidRDefault="000D5D9B" w:rsidP="00947A99">
            <w:pPr>
              <w:rPr>
                <w:rFonts w:eastAsia="Calibri" w:cs="Arial"/>
                <w:sz w:val="24"/>
                <w:szCs w:val="24"/>
              </w:rPr>
            </w:pPr>
          </w:p>
        </w:tc>
        <w:tc>
          <w:tcPr>
            <w:tcW w:w="4505" w:type="dxa"/>
          </w:tcPr>
          <w:p w14:paraId="7CAE0D0E" w14:textId="77777777" w:rsidR="000D5D9B" w:rsidRPr="0056764D" w:rsidRDefault="000D5D9B" w:rsidP="00947A99">
            <w:pPr>
              <w:rPr>
                <w:rFonts w:eastAsia="Calibri" w:cs="Arial"/>
                <w:sz w:val="24"/>
                <w:szCs w:val="24"/>
              </w:rPr>
            </w:pPr>
            <w:r w:rsidRPr="0056764D">
              <w:rPr>
                <w:rFonts w:eastAsia="Calibri" w:cs="Arial"/>
                <w:sz w:val="24"/>
                <w:szCs w:val="24"/>
              </w:rPr>
              <w:t>Commission on Culture and Local Government</w:t>
            </w:r>
          </w:p>
        </w:tc>
      </w:tr>
      <w:tr w:rsidR="000D5D9B" w:rsidRPr="0056764D" w14:paraId="4FE8B448" w14:textId="77777777" w:rsidTr="00947A99">
        <w:tc>
          <w:tcPr>
            <w:tcW w:w="4505" w:type="dxa"/>
            <w:vMerge/>
          </w:tcPr>
          <w:p w14:paraId="4185F57E" w14:textId="77777777" w:rsidR="000D5D9B" w:rsidRPr="0056764D" w:rsidRDefault="000D5D9B" w:rsidP="00947A99">
            <w:pPr>
              <w:rPr>
                <w:rFonts w:eastAsia="Calibri" w:cs="Arial"/>
                <w:sz w:val="24"/>
                <w:szCs w:val="24"/>
              </w:rPr>
            </w:pPr>
          </w:p>
        </w:tc>
        <w:tc>
          <w:tcPr>
            <w:tcW w:w="4505" w:type="dxa"/>
          </w:tcPr>
          <w:p w14:paraId="4B27C621" w14:textId="77777777" w:rsidR="000D5D9B" w:rsidRPr="0056764D" w:rsidRDefault="000D5D9B" w:rsidP="00947A99">
            <w:pPr>
              <w:rPr>
                <w:rFonts w:eastAsia="Calibri" w:cs="Arial"/>
                <w:sz w:val="24"/>
                <w:szCs w:val="24"/>
              </w:rPr>
            </w:pPr>
            <w:r w:rsidRPr="0056764D">
              <w:rPr>
                <w:rFonts w:eastAsia="Calibri" w:cs="Arial"/>
                <w:sz w:val="24"/>
                <w:szCs w:val="24"/>
              </w:rPr>
              <w:t>Meeting net zero and climate adaptation and mitigation efforts</w:t>
            </w:r>
          </w:p>
        </w:tc>
      </w:tr>
      <w:tr w:rsidR="000D5D9B" w:rsidRPr="0056764D" w14:paraId="5C934DBC" w14:textId="77777777" w:rsidTr="00947A99">
        <w:tc>
          <w:tcPr>
            <w:tcW w:w="4505" w:type="dxa"/>
            <w:vMerge/>
          </w:tcPr>
          <w:p w14:paraId="2D591542" w14:textId="77777777" w:rsidR="000D5D9B" w:rsidRPr="0056764D" w:rsidRDefault="000D5D9B" w:rsidP="00947A99">
            <w:pPr>
              <w:rPr>
                <w:rFonts w:eastAsia="Calibri" w:cs="Arial"/>
                <w:sz w:val="24"/>
                <w:szCs w:val="24"/>
              </w:rPr>
            </w:pPr>
          </w:p>
        </w:tc>
        <w:tc>
          <w:tcPr>
            <w:tcW w:w="4505" w:type="dxa"/>
          </w:tcPr>
          <w:p w14:paraId="4D915C6B" w14:textId="77777777" w:rsidR="000D5D9B" w:rsidRPr="0056764D" w:rsidRDefault="000D5D9B" w:rsidP="00947A99">
            <w:pPr>
              <w:rPr>
                <w:rFonts w:eastAsia="Calibri" w:cs="Arial"/>
                <w:sz w:val="24"/>
                <w:szCs w:val="24"/>
              </w:rPr>
            </w:pPr>
            <w:r w:rsidRPr="0056764D">
              <w:rPr>
                <w:rFonts w:eastAsia="Calibri" w:cs="Arial"/>
                <w:sz w:val="24"/>
                <w:szCs w:val="24"/>
              </w:rPr>
              <w:t>Understanding and addressing the disparities of access and outcomes to CTS services from an EDI perspective</w:t>
            </w:r>
          </w:p>
        </w:tc>
      </w:tr>
      <w:tr w:rsidR="000D5D9B" w:rsidRPr="0056764D" w14:paraId="77ADE284" w14:textId="77777777" w:rsidTr="00947A99">
        <w:tc>
          <w:tcPr>
            <w:tcW w:w="4505" w:type="dxa"/>
            <w:vMerge/>
          </w:tcPr>
          <w:p w14:paraId="1A1A0F79" w14:textId="77777777" w:rsidR="000D5D9B" w:rsidRPr="0056764D" w:rsidRDefault="000D5D9B" w:rsidP="00947A99">
            <w:pPr>
              <w:rPr>
                <w:rFonts w:eastAsia="Calibri" w:cs="Arial"/>
                <w:sz w:val="24"/>
                <w:szCs w:val="24"/>
              </w:rPr>
            </w:pPr>
          </w:p>
        </w:tc>
        <w:tc>
          <w:tcPr>
            <w:tcW w:w="4505" w:type="dxa"/>
          </w:tcPr>
          <w:p w14:paraId="74D05731" w14:textId="77777777" w:rsidR="000D5D9B" w:rsidRPr="0056764D" w:rsidRDefault="000D5D9B" w:rsidP="00947A99">
            <w:pPr>
              <w:rPr>
                <w:rFonts w:eastAsia="Calibri" w:cs="Arial"/>
                <w:sz w:val="24"/>
                <w:szCs w:val="24"/>
              </w:rPr>
            </w:pPr>
            <w:r w:rsidRPr="0056764D">
              <w:rPr>
                <w:rFonts w:eastAsia="Calibri" w:cs="Arial"/>
                <w:sz w:val="24"/>
                <w:szCs w:val="24"/>
              </w:rPr>
              <w:t>Investment in sports, physical activity, and parks</w:t>
            </w:r>
          </w:p>
        </w:tc>
      </w:tr>
      <w:tr w:rsidR="000D5D9B" w:rsidRPr="0056764D" w14:paraId="00F31FC7" w14:textId="77777777" w:rsidTr="00947A99">
        <w:tc>
          <w:tcPr>
            <w:tcW w:w="4505" w:type="dxa"/>
            <w:vMerge w:val="restart"/>
          </w:tcPr>
          <w:p w14:paraId="64D7DB8F" w14:textId="77777777" w:rsidR="000D5D9B" w:rsidRPr="0056764D" w:rsidRDefault="000D5D9B" w:rsidP="00947A99">
            <w:pPr>
              <w:rPr>
                <w:rFonts w:eastAsia="Calibri" w:cs="Arial"/>
                <w:sz w:val="24"/>
                <w:szCs w:val="24"/>
              </w:rPr>
            </w:pPr>
            <w:r w:rsidRPr="0056764D">
              <w:rPr>
                <w:rFonts w:eastAsia="Calibri" w:cs="Arial"/>
                <w:sz w:val="24"/>
                <w:szCs w:val="24"/>
              </w:rPr>
              <w:t>Fire Services Management Committee</w:t>
            </w:r>
          </w:p>
        </w:tc>
        <w:tc>
          <w:tcPr>
            <w:tcW w:w="4505" w:type="dxa"/>
          </w:tcPr>
          <w:p w14:paraId="69CD82D3" w14:textId="77777777" w:rsidR="0029753A" w:rsidRPr="004C739B" w:rsidRDefault="000D5D9B" w:rsidP="00947A99">
            <w:pPr>
              <w:rPr>
                <w:rFonts w:eastAsia="Calibri" w:cs="Arial"/>
                <w:sz w:val="24"/>
                <w:szCs w:val="24"/>
              </w:rPr>
            </w:pPr>
            <w:r w:rsidRPr="004C739B">
              <w:rPr>
                <w:rFonts w:eastAsia="Calibri" w:cs="Arial"/>
                <w:sz w:val="24"/>
                <w:szCs w:val="24"/>
              </w:rPr>
              <w:t xml:space="preserve">People: </w:t>
            </w:r>
          </w:p>
          <w:p w14:paraId="520D2078" w14:textId="77777777" w:rsidR="0029753A" w:rsidRPr="004C739B" w:rsidRDefault="000D5D9B" w:rsidP="0029753A">
            <w:pPr>
              <w:pStyle w:val="ListParagraph"/>
              <w:numPr>
                <w:ilvl w:val="0"/>
                <w:numId w:val="39"/>
              </w:numPr>
              <w:spacing w:after="0"/>
              <w:rPr>
                <w:rFonts w:eastAsia="Calibri" w:cs="Arial"/>
                <w:sz w:val="24"/>
                <w:szCs w:val="24"/>
              </w:rPr>
            </w:pPr>
            <w:r w:rsidRPr="004C739B">
              <w:rPr>
                <w:rFonts w:eastAsia="Calibri" w:cs="Arial"/>
                <w:sz w:val="24"/>
                <w:szCs w:val="24"/>
              </w:rPr>
              <w:t xml:space="preserve">EDI </w:t>
            </w:r>
          </w:p>
          <w:p w14:paraId="480EF5A9" w14:textId="603AFD1D" w:rsidR="000D5D9B" w:rsidRPr="004C739B" w:rsidRDefault="000D5D9B" w:rsidP="0029753A">
            <w:pPr>
              <w:pStyle w:val="ListParagraph"/>
              <w:numPr>
                <w:ilvl w:val="0"/>
                <w:numId w:val="39"/>
              </w:numPr>
              <w:spacing w:after="0"/>
              <w:rPr>
                <w:rFonts w:eastAsia="Calibri" w:cs="Arial"/>
                <w:sz w:val="24"/>
                <w:szCs w:val="24"/>
              </w:rPr>
            </w:pPr>
            <w:r w:rsidRPr="004C739B">
              <w:rPr>
                <w:rFonts w:eastAsia="Calibri" w:cs="Arial"/>
                <w:sz w:val="24"/>
                <w:szCs w:val="24"/>
              </w:rPr>
              <w:t>Leadership training for members</w:t>
            </w:r>
          </w:p>
        </w:tc>
      </w:tr>
      <w:tr w:rsidR="000D5D9B" w:rsidRPr="0056764D" w14:paraId="45F79724" w14:textId="77777777" w:rsidTr="00947A99">
        <w:tc>
          <w:tcPr>
            <w:tcW w:w="4505" w:type="dxa"/>
            <w:vMerge/>
          </w:tcPr>
          <w:p w14:paraId="0A16BE6F" w14:textId="77777777" w:rsidR="000D5D9B" w:rsidRPr="0056764D" w:rsidRDefault="000D5D9B" w:rsidP="00947A99">
            <w:pPr>
              <w:rPr>
                <w:rFonts w:eastAsia="Calibri" w:cs="Arial"/>
                <w:sz w:val="24"/>
                <w:szCs w:val="24"/>
              </w:rPr>
            </w:pPr>
          </w:p>
        </w:tc>
        <w:tc>
          <w:tcPr>
            <w:tcW w:w="4505" w:type="dxa"/>
          </w:tcPr>
          <w:p w14:paraId="79D13A71" w14:textId="77777777" w:rsidR="0029753A" w:rsidRPr="004C739B" w:rsidRDefault="000D5D9B" w:rsidP="0029753A">
            <w:pPr>
              <w:rPr>
                <w:rFonts w:eastAsia="Calibri" w:cs="Arial"/>
                <w:sz w:val="24"/>
                <w:szCs w:val="24"/>
              </w:rPr>
            </w:pPr>
            <w:r w:rsidRPr="004C739B">
              <w:rPr>
                <w:rFonts w:eastAsia="Calibri" w:cs="Arial"/>
                <w:sz w:val="24"/>
                <w:szCs w:val="24"/>
              </w:rPr>
              <w:t xml:space="preserve">Professionalism: </w:t>
            </w:r>
          </w:p>
          <w:p w14:paraId="71B9A49F" w14:textId="77777777" w:rsidR="0029753A" w:rsidRPr="004C739B" w:rsidRDefault="000D5D9B" w:rsidP="0029753A">
            <w:pPr>
              <w:pStyle w:val="ListParagraph"/>
              <w:numPr>
                <w:ilvl w:val="0"/>
                <w:numId w:val="38"/>
              </w:numPr>
              <w:spacing w:after="0"/>
              <w:rPr>
                <w:rFonts w:eastAsia="Calibri" w:cs="Arial"/>
                <w:sz w:val="24"/>
                <w:szCs w:val="24"/>
              </w:rPr>
            </w:pPr>
            <w:r w:rsidRPr="004C739B">
              <w:rPr>
                <w:rFonts w:eastAsia="Calibri" w:cs="Arial"/>
                <w:sz w:val="24"/>
                <w:szCs w:val="24"/>
              </w:rPr>
              <w:t xml:space="preserve">Building safety </w:t>
            </w:r>
          </w:p>
          <w:p w14:paraId="45C3C5ED" w14:textId="77777777" w:rsidR="0029753A" w:rsidRPr="004C739B" w:rsidRDefault="000D5D9B" w:rsidP="0029753A">
            <w:pPr>
              <w:pStyle w:val="ListParagraph"/>
              <w:numPr>
                <w:ilvl w:val="0"/>
                <w:numId w:val="38"/>
              </w:numPr>
              <w:spacing w:after="0"/>
              <w:rPr>
                <w:rFonts w:eastAsia="Calibri" w:cs="Arial"/>
                <w:sz w:val="24"/>
                <w:szCs w:val="24"/>
              </w:rPr>
            </w:pPr>
            <w:r w:rsidRPr="004C739B">
              <w:rPr>
                <w:rFonts w:eastAsia="Calibri" w:cs="Arial"/>
                <w:sz w:val="24"/>
                <w:szCs w:val="24"/>
              </w:rPr>
              <w:t>Finance for the sector</w:t>
            </w:r>
          </w:p>
          <w:p w14:paraId="597CE40E" w14:textId="77777777" w:rsidR="0029753A" w:rsidRPr="004C739B" w:rsidRDefault="000D5D9B" w:rsidP="0029753A">
            <w:pPr>
              <w:pStyle w:val="ListParagraph"/>
              <w:numPr>
                <w:ilvl w:val="0"/>
                <w:numId w:val="38"/>
              </w:numPr>
              <w:spacing w:after="0"/>
              <w:rPr>
                <w:rFonts w:eastAsia="Calibri" w:cs="Arial"/>
                <w:sz w:val="24"/>
                <w:szCs w:val="24"/>
              </w:rPr>
            </w:pPr>
            <w:r w:rsidRPr="004C739B">
              <w:rPr>
                <w:rFonts w:eastAsia="Calibri" w:cs="Arial"/>
                <w:sz w:val="24"/>
                <w:szCs w:val="24"/>
              </w:rPr>
              <w:t>Inspections and sector led improvement</w:t>
            </w:r>
          </w:p>
          <w:p w14:paraId="25945117" w14:textId="764F40FB" w:rsidR="000D5D9B" w:rsidRPr="004C739B" w:rsidRDefault="000D5D9B" w:rsidP="0029753A">
            <w:pPr>
              <w:pStyle w:val="ListParagraph"/>
              <w:numPr>
                <w:ilvl w:val="0"/>
                <w:numId w:val="38"/>
              </w:numPr>
              <w:spacing w:after="0"/>
              <w:rPr>
                <w:rFonts w:eastAsia="Calibri" w:cs="Arial"/>
                <w:sz w:val="24"/>
                <w:szCs w:val="24"/>
              </w:rPr>
            </w:pPr>
            <w:r w:rsidRPr="004C739B">
              <w:rPr>
                <w:rFonts w:eastAsia="Calibri" w:cs="Arial"/>
                <w:sz w:val="24"/>
                <w:szCs w:val="24"/>
              </w:rPr>
              <w:t>Role of the LGA on the Fire Standards Board</w:t>
            </w:r>
          </w:p>
        </w:tc>
      </w:tr>
      <w:tr w:rsidR="000D5D9B" w:rsidRPr="0056764D" w14:paraId="1DEB157D" w14:textId="77777777" w:rsidTr="00947A99">
        <w:tc>
          <w:tcPr>
            <w:tcW w:w="4505" w:type="dxa"/>
            <w:vMerge/>
          </w:tcPr>
          <w:p w14:paraId="466E0F9D" w14:textId="77777777" w:rsidR="000D5D9B" w:rsidRPr="0056764D" w:rsidRDefault="000D5D9B" w:rsidP="00947A99">
            <w:pPr>
              <w:rPr>
                <w:rFonts w:eastAsia="Calibri" w:cs="Arial"/>
                <w:sz w:val="24"/>
                <w:szCs w:val="24"/>
              </w:rPr>
            </w:pPr>
          </w:p>
        </w:tc>
        <w:tc>
          <w:tcPr>
            <w:tcW w:w="4505" w:type="dxa"/>
          </w:tcPr>
          <w:p w14:paraId="0445A183" w14:textId="77777777" w:rsidR="0029753A" w:rsidRPr="004C739B" w:rsidRDefault="000D5D9B" w:rsidP="0029753A">
            <w:pPr>
              <w:rPr>
                <w:rFonts w:eastAsia="Calibri" w:cs="Arial"/>
                <w:sz w:val="24"/>
                <w:szCs w:val="24"/>
              </w:rPr>
            </w:pPr>
            <w:r w:rsidRPr="004C739B">
              <w:rPr>
                <w:rFonts w:eastAsia="Calibri" w:cs="Arial"/>
                <w:sz w:val="24"/>
                <w:szCs w:val="24"/>
              </w:rPr>
              <w:t xml:space="preserve">Governance: </w:t>
            </w:r>
          </w:p>
          <w:p w14:paraId="0759DFCB" w14:textId="2FC3C412" w:rsidR="000D5D9B" w:rsidRPr="004C739B" w:rsidRDefault="000D5D9B" w:rsidP="0029753A">
            <w:pPr>
              <w:pStyle w:val="ListParagraph"/>
              <w:numPr>
                <w:ilvl w:val="0"/>
                <w:numId w:val="36"/>
              </w:numPr>
              <w:spacing w:after="0"/>
              <w:rPr>
                <w:rFonts w:eastAsia="Calibri" w:cs="Arial"/>
                <w:sz w:val="24"/>
                <w:szCs w:val="24"/>
              </w:rPr>
            </w:pPr>
            <w:r w:rsidRPr="004C739B">
              <w:rPr>
                <w:rFonts w:eastAsia="Calibri" w:cs="Arial"/>
                <w:sz w:val="24"/>
                <w:szCs w:val="24"/>
              </w:rPr>
              <w:t>Supporting members in their governance role</w:t>
            </w:r>
          </w:p>
        </w:tc>
      </w:tr>
      <w:tr w:rsidR="000D5D9B" w:rsidRPr="0056764D" w14:paraId="4ECF2C3E" w14:textId="77777777" w:rsidTr="00947A99">
        <w:tc>
          <w:tcPr>
            <w:tcW w:w="4505" w:type="dxa"/>
            <w:vMerge w:val="restart"/>
          </w:tcPr>
          <w:p w14:paraId="5EA40C5D" w14:textId="77777777" w:rsidR="000D5D9B" w:rsidRPr="0056764D" w:rsidRDefault="000D5D9B" w:rsidP="00947A99">
            <w:pPr>
              <w:rPr>
                <w:rFonts w:eastAsia="Calibri" w:cs="Arial"/>
                <w:sz w:val="24"/>
                <w:szCs w:val="24"/>
              </w:rPr>
            </w:pPr>
            <w:r w:rsidRPr="0056764D">
              <w:rPr>
                <w:rFonts w:eastAsia="Calibri" w:cs="Arial"/>
                <w:sz w:val="24"/>
                <w:szCs w:val="24"/>
              </w:rPr>
              <w:t>Resources Board</w:t>
            </w:r>
          </w:p>
        </w:tc>
        <w:tc>
          <w:tcPr>
            <w:tcW w:w="4505" w:type="dxa"/>
          </w:tcPr>
          <w:p w14:paraId="567B2F37" w14:textId="77777777" w:rsidR="000D5D9B" w:rsidRPr="004C739B" w:rsidRDefault="000D5D9B" w:rsidP="00947A99">
            <w:pPr>
              <w:rPr>
                <w:rFonts w:eastAsia="Calibri" w:cs="Arial"/>
                <w:sz w:val="24"/>
                <w:szCs w:val="24"/>
              </w:rPr>
            </w:pPr>
            <w:r w:rsidRPr="004C739B">
              <w:rPr>
                <w:rFonts w:eastAsia="Calibri" w:cs="Arial"/>
                <w:sz w:val="24"/>
                <w:szCs w:val="24"/>
              </w:rPr>
              <w:t>Council funding</w:t>
            </w:r>
          </w:p>
        </w:tc>
      </w:tr>
      <w:tr w:rsidR="000D5D9B" w:rsidRPr="0056764D" w14:paraId="1B6D158F" w14:textId="77777777" w:rsidTr="00947A99">
        <w:tc>
          <w:tcPr>
            <w:tcW w:w="4505" w:type="dxa"/>
            <w:vMerge/>
          </w:tcPr>
          <w:p w14:paraId="7CE12980" w14:textId="77777777" w:rsidR="000D5D9B" w:rsidRPr="0056764D" w:rsidRDefault="000D5D9B" w:rsidP="00947A99">
            <w:pPr>
              <w:rPr>
                <w:rFonts w:eastAsia="Calibri" w:cs="Arial"/>
                <w:sz w:val="24"/>
                <w:szCs w:val="24"/>
              </w:rPr>
            </w:pPr>
          </w:p>
        </w:tc>
        <w:tc>
          <w:tcPr>
            <w:tcW w:w="4505" w:type="dxa"/>
          </w:tcPr>
          <w:p w14:paraId="650211AD" w14:textId="77777777" w:rsidR="000D5D9B" w:rsidRPr="004C739B" w:rsidRDefault="000D5D9B" w:rsidP="00947A99">
            <w:pPr>
              <w:rPr>
                <w:rFonts w:eastAsia="Calibri" w:cs="Arial"/>
                <w:sz w:val="24"/>
                <w:szCs w:val="24"/>
              </w:rPr>
            </w:pPr>
            <w:r w:rsidRPr="004C739B">
              <w:rPr>
                <w:rFonts w:eastAsia="Calibri" w:cs="Arial"/>
                <w:sz w:val="24"/>
                <w:szCs w:val="24"/>
              </w:rPr>
              <w:t>Locally raised resources</w:t>
            </w:r>
          </w:p>
        </w:tc>
      </w:tr>
      <w:tr w:rsidR="000D5D9B" w:rsidRPr="0056764D" w14:paraId="6A7D19B0" w14:textId="77777777" w:rsidTr="00947A99">
        <w:tc>
          <w:tcPr>
            <w:tcW w:w="4505" w:type="dxa"/>
            <w:vMerge/>
          </w:tcPr>
          <w:p w14:paraId="42E0BE27" w14:textId="77777777" w:rsidR="000D5D9B" w:rsidRPr="0056764D" w:rsidRDefault="000D5D9B" w:rsidP="00947A99">
            <w:pPr>
              <w:rPr>
                <w:rFonts w:eastAsia="Calibri" w:cs="Arial"/>
                <w:sz w:val="24"/>
                <w:szCs w:val="24"/>
              </w:rPr>
            </w:pPr>
          </w:p>
        </w:tc>
        <w:tc>
          <w:tcPr>
            <w:tcW w:w="4505" w:type="dxa"/>
          </w:tcPr>
          <w:p w14:paraId="42EBC8A4" w14:textId="77777777" w:rsidR="000D5D9B" w:rsidRPr="004C739B" w:rsidRDefault="000D5D9B" w:rsidP="00947A99">
            <w:pPr>
              <w:rPr>
                <w:rFonts w:eastAsia="Calibri" w:cs="Arial"/>
                <w:sz w:val="24"/>
                <w:szCs w:val="24"/>
              </w:rPr>
            </w:pPr>
            <w:r w:rsidRPr="004C739B">
              <w:rPr>
                <w:rFonts w:eastAsia="Calibri" w:cs="Arial"/>
                <w:sz w:val="24"/>
                <w:szCs w:val="24"/>
              </w:rPr>
              <w:t>Capital investment</w:t>
            </w:r>
          </w:p>
        </w:tc>
      </w:tr>
      <w:tr w:rsidR="000D5D9B" w:rsidRPr="0056764D" w14:paraId="0A891A40" w14:textId="77777777" w:rsidTr="00947A99">
        <w:tc>
          <w:tcPr>
            <w:tcW w:w="4505" w:type="dxa"/>
            <w:vMerge/>
          </w:tcPr>
          <w:p w14:paraId="5C4F542C" w14:textId="77777777" w:rsidR="000D5D9B" w:rsidRPr="0056764D" w:rsidRDefault="000D5D9B" w:rsidP="00947A99">
            <w:pPr>
              <w:rPr>
                <w:rFonts w:eastAsia="Calibri" w:cs="Arial"/>
                <w:sz w:val="24"/>
                <w:szCs w:val="24"/>
              </w:rPr>
            </w:pPr>
          </w:p>
        </w:tc>
        <w:tc>
          <w:tcPr>
            <w:tcW w:w="4505" w:type="dxa"/>
          </w:tcPr>
          <w:p w14:paraId="6A5CF0A7" w14:textId="77777777" w:rsidR="000D5D9B" w:rsidRPr="004C739B" w:rsidRDefault="000D5D9B" w:rsidP="00947A99">
            <w:pPr>
              <w:rPr>
                <w:rFonts w:eastAsia="Calibri" w:cs="Arial"/>
                <w:sz w:val="24"/>
                <w:szCs w:val="24"/>
              </w:rPr>
            </w:pPr>
            <w:r w:rsidRPr="004C739B">
              <w:rPr>
                <w:rFonts w:eastAsia="Calibri" w:cs="Arial"/>
                <w:sz w:val="24"/>
                <w:szCs w:val="24"/>
              </w:rPr>
              <w:t>Pensions</w:t>
            </w:r>
          </w:p>
        </w:tc>
      </w:tr>
      <w:tr w:rsidR="000D5D9B" w:rsidRPr="0056764D" w14:paraId="7FA6D87F" w14:textId="77777777" w:rsidTr="00947A99">
        <w:tc>
          <w:tcPr>
            <w:tcW w:w="4505" w:type="dxa"/>
            <w:vMerge w:val="restart"/>
          </w:tcPr>
          <w:p w14:paraId="48C0CC16" w14:textId="77777777" w:rsidR="000D5D9B" w:rsidRPr="0056764D" w:rsidRDefault="000D5D9B" w:rsidP="00947A99">
            <w:pPr>
              <w:rPr>
                <w:rFonts w:eastAsia="Calibri" w:cs="Arial"/>
                <w:sz w:val="24"/>
                <w:szCs w:val="24"/>
              </w:rPr>
            </w:pPr>
            <w:r w:rsidRPr="0056764D">
              <w:rPr>
                <w:rFonts w:eastAsia="Calibri" w:cs="Arial"/>
                <w:sz w:val="24"/>
                <w:szCs w:val="24"/>
              </w:rPr>
              <w:t>People and places</w:t>
            </w:r>
          </w:p>
        </w:tc>
        <w:tc>
          <w:tcPr>
            <w:tcW w:w="4505" w:type="dxa"/>
          </w:tcPr>
          <w:p w14:paraId="276242BB" w14:textId="77777777" w:rsidR="000D5D9B" w:rsidRPr="004C739B" w:rsidRDefault="000D5D9B" w:rsidP="00947A99">
            <w:pPr>
              <w:rPr>
                <w:rFonts w:eastAsia="Calibri" w:cs="Arial"/>
                <w:sz w:val="24"/>
                <w:szCs w:val="24"/>
              </w:rPr>
            </w:pPr>
            <w:r w:rsidRPr="004C739B">
              <w:rPr>
                <w:rFonts w:eastAsia="Calibri" w:cs="Arial"/>
                <w:sz w:val="24"/>
                <w:szCs w:val="24"/>
              </w:rPr>
              <w:t>Rural proofing and recognising rural needs in policy</w:t>
            </w:r>
          </w:p>
        </w:tc>
      </w:tr>
      <w:tr w:rsidR="000D5D9B" w:rsidRPr="0056764D" w14:paraId="2282DFF7" w14:textId="77777777" w:rsidTr="00947A99">
        <w:tc>
          <w:tcPr>
            <w:tcW w:w="4505" w:type="dxa"/>
            <w:vMerge/>
          </w:tcPr>
          <w:p w14:paraId="3ECC74CD" w14:textId="77777777" w:rsidR="000D5D9B" w:rsidRPr="0056764D" w:rsidRDefault="000D5D9B" w:rsidP="00947A99">
            <w:pPr>
              <w:rPr>
                <w:rFonts w:eastAsia="Calibri" w:cs="Arial"/>
                <w:sz w:val="24"/>
                <w:szCs w:val="24"/>
              </w:rPr>
            </w:pPr>
          </w:p>
        </w:tc>
        <w:tc>
          <w:tcPr>
            <w:tcW w:w="4505" w:type="dxa"/>
          </w:tcPr>
          <w:p w14:paraId="72F86585" w14:textId="77777777" w:rsidR="0029753A" w:rsidRPr="004C739B" w:rsidRDefault="000D5D9B" w:rsidP="0029753A">
            <w:pPr>
              <w:rPr>
                <w:rFonts w:eastAsia="Calibri" w:cs="Arial"/>
                <w:sz w:val="24"/>
                <w:szCs w:val="24"/>
              </w:rPr>
            </w:pPr>
            <w:r w:rsidRPr="004C739B">
              <w:rPr>
                <w:rFonts w:eastAsia="Calibri" w:cs="Arial"/>
                <w:sz w:val="24"/>
                <w:szCs w:val="24"/>
              </w:rPr>
              <w:t xml:space="preserve">Levelling Up: </w:t>
            </w:r>
          </w:p>
          <w:p w14:paraId="273C20A5" w14:textId="77777777" w:rsidR="0029753A" w:rsidRPr="004C739B" w:rsidRDefault="000D5D9B" w:rsidP="0029753A">
            <w:pPr>
              <w:pStyle w:val="ListParagraph"/>
              <w:numPr>
                <w:ilvl w:val="0"/>
                <w:numId w:val="34"/>
              </w:numPr>
              <w:spacing w:after="0"/>
              <w:rPr>
                <w:rFonts w:eastAsia="Calibri" w:cs="Arial"/>
                <w:sz w:val="24"/>
                <w:szCs w:val="24"/>
              </w:rPr>
            </w:pPr>
            <w:r w:rsidRPr="004C739B">
              <w:rPr>
                <w:rFonts w:eastAsia="Calibri" w:cs="Arial"/>
                <w:sz w:val="24"/>
                <w:szCs w:val="24"/>
              </w:rPr>
              <w:t>Levelling Up Locally Inquiry</w:t>
            </w:r>
          </w:p>
          <w:p w14:paraId="44A9AF45" w14:textId="5CE3B8F9" w:rsidR="000D5D9B" w:rsidRPr="004C739B" w:rsidRDefault="000D5D9B" w:rsidP="0029753A">
            <w:pPr>
              <w:pStyle w:val="ListParagraph"/>
              <w:numPr>
                <w:ilvl w:val="0"/>
                <w:numId w:val="34"/>
              </w:numPr>
              <w:spacing w:after="0"/>
              <w:rPr>
                <w:rFonts w:eastAsia="Calibri" w:cs="Arial"/>
                <w:sz w:val="24"/>
                <w:szCs w:val="24"/>
              </w:rPr>
            </w:pPr>
            <w:r w:rsidRPr="004C739B">
              <w:rPr>
                <w:rFonts w:eastAsia="Calibri" w:cs="Arial"/>
                <w:sz w:val="24"/>
                <w:szCs w:val="24"/>
              </w:rPr>
              <w:t>Levelling Up and Regeneration Bill</w:t>
            </w:r>
          </w:p>
          <w:p w14:paraId="3CB5B8E4" w14:textId="77777777" w:rsidR="000D5D9B" w:rsidRPr="004C739B" w:rsidRDefault="000D5D9B" w:rsidP="0029753A">
            <w:pPr>
              <w:pStyle w:val="ListParagraph"/>
              <w:numPr>
                <w:ilvl w:val="0"/>
                <w:numId w:val="33"/>
              </w:numPr>
              <w:spacing w:after="0"/>
              <w:rPr>
                <w:rFonts w:eastAsia="Calibri" w:cs="Arial"/>
                <w:sz w:val="24"/>
                <w:szCs w:val="24"/>
              </w:rPr>
            </w:pPr>
            <w:r w:rsidRPr="004C739B">
              <w:rPr>
                <w:rFonts w:eastAsia="Calibri" w:cs="Arial"/>
                <w:sz w:val="24"/>
                <w:szCs w:val="24"/>
              </w:rPr>
              <w:t>Work Local Proposals – localised employment and skills system</w:t>
            </w:r>
          </w:p>
        </w:tc>
      </w:tr>
      <w:tr w:rsidR="000D5D9B" w:rsidRPr="0056764D" w14:paraId="352FEBDD" w14:textId="77777777" w:rsidTr="00947A99">
        <w:tc>
          <w:tcPr>
            <w:tcW w:w="4505" w:type="dxa"/>
            <w:vMerge/>
          </w:tcPr>
          <w:p w14:paraId="11D6D81B" w14:textId="77777777" w:rsidR="000D5D9B" w:rsidRPr="0056764D" w:rsidRDefault="000D5D9B" w:rsidP="00947A99">
            <w:pPr>
              <w:rPr>
                <w:rFonts w:eastAsia="Calibri" w:cs="Arial"/>
                <w:sz w:val="24"/>
                <w:szCs w:val="24"/>
              </w:rPr>
            </w:pPr>
          </w:p>
        </w:tc>
        <w:tc>
          <w:tcPr>
            <w:tcW w:w="4505" w:type="dxa"/>
          </w:tcPr>
          <w:p w14:paraId="7A2D4152" w14:textId="77777777" w:rsidR="000D5D9B" w:rsidRPr="004C739B" w:rsidRDefault="000D5D9B" w:rsidP="00947A99">
            <w:pPr>
              <w:rPr>
                <w:rFonts w:eastAsia="Calibri" w:cs="Arial"/>
                <w:sz w:val="24"/>
                <w:szCs w:val="24"/>
              </w:rPr>
            </w:pPr>
            <w:r w:rsidRPr="004C739B">
              <w:rPr>
                <w:rFonts w:eastAsia="Calibri" w:cs="Arial"/>
                <w:sz w:val="24"/>
                <w:szCs w:val="24"/>
              </w:rPr>
              <w:t>Digital connectivity and inclusion</w:t>
            </w:r>
          </w:p>
        </w:tc>
      </w:tr>
      <w:tr w:rsidR="000D5D9B" w:rsidRPr="0056764D" w14:paraId="6E4D8BBD" w14:textId="77777777" w:rsidTr="00947A99">
        <w:tc>
          <w:tcPr>
            <w:tcW w:w="4505" w:type="dxa"/>
            <w:vMerge/>
          </w:tcPr>
          <w:p w14:paraId="0A78478B" w14:textId="77777777" w:rsidR="000D5D9B" w:rsidRPr="0056764D" w:rsidRDefault="000D5D9B" w:rsidP="00947A99">
            <w:pPr>
              <w:rPr>
                <w:rFonts w:eastAsia="Calibri" w:cs="Arial"/>
                <w:sz w:val="24"/>
                <w:szCs w:val="24"/>
              </w:rPr>
            </w:pPr>
          </w:p>
        </w:tc>
        <w:tc>
          <w:tcPr>
            <w:tcW w:w="4505" w:type="dxa"/>
          </w:tcPr>
          <w:p w14:paraId="435D5332" w14:textId="77777777" w:rsidR="000D5D9B" w:rsidRPr="004C739B" w:rsidRDefault="000D5D9B" w:rsidP="00947A99">
            <w:pPr>
              <w:rPr>
                <w:rFonts w:eastAsia="Calibri" w:cs="Arial"/>
                <w:sz w:val="24"/>
                <w:szCs w:val="24"/>
              </w:rPr>
            </w:pPr>
            <w:r w:rsidRPr="004C739B">
              <w:rPr>
                <w:rFonts w:eastAsia="Calibri" w:cs="Arial"/>
                <w:sz w:val="24"/>
                <w:szCs w:val="24"/>
              </w:rPr>
              <w:t>Skills for the green economy</w:t>
            </w:r>
          </w:p>
        </w:tc>
      </w:tr>
      <w:tr w:rsidR="000D5D9B" w:rsidRPr="0056764D" w14:paraId="7369C116" w14:textId="77777777" w:rsidTr="00947A99">
        <w:tc>
          <w:tcPr>
            <w:tcW w:w="4505" w:type="dxa"/>
            <w:vMerge/>
          </w:tcPr>
          <w:p w14:paraId="2FF6C50D" w14:textId="77777777" w:rsidR="000D5D9B" w:rsidRPr="0056764D" w:rsidRDefault="000D5D9B" w:rsidP="00947A99">
            <w:pPr>
              <w:rPr>
                <w:rFonts w:eastAsia="Calibri" w:cs="Arial"/>
                <w:sz w:val="24"/>
                <w:szCs w:val="24"/>
              </w:rPr>
            </w:pPr>
          </w:p>
        </w:tc>
        <w:tc>
          <w:tcPr>
            <w:tcW w:w="4505" w:type="dxa"/>
          </w:tcPr>
          <w:p w14:paraId="28F25313" w14:textId="77777777" w:rsidR="000D5D9B" w:rsidRPr="004C739B" w:rsidRDefault="000D5D9B" w:rsidP="00947A99">
            <w:pPr>
              <w:rPr>
                <w:rFonts w:eastAsia="Calibri" w:cs="Arial"/>
                <w:sz w:val="24"/>
                <w:szCs w:val="24"/>
              </w:rPr>
            </w:pPr>
            <w:r w:rsidRPr="004C739B">
              <w:rPr>
                <w:rFonts w:eastAsia="Calibri" w:cs="Arial"/>
                <w:sz w:val="24"/>
                <w:szCs w:val="24"/>
              </w:rPr>
              <w:t>Growth funding</w:t>
            </w:r>
          </w:p>
        </w:tc>
      </w:tr>
      <w:tr w:rsidR="000D5D9B" w:rsidRPr="0056764D" w14:paraId="6BE4B978" w14:textId="77777777" w:rsidTr="00947A99">
        <w:tc>
          <w:tcPr>
            <w:tcW w:w="4505" w:type="dxa"/>
            <w:vMerge w:val="restart"/>
          </w:tcPr>
          <w:p w14:paraId="3B216A3E" w14:textId="77777777" w:rsidR="000D5D9B" w:rsidRPr="0056764D" w:rsidRDefault="000D5D9B" w:rsidP="00947A99">
            <w:pPr>
              <w:rPr>
                <w:rFonts w:eastAsia="Calibri" w:cs="Arial"/>
                <w:sz w:val="24"/>
                <w:szCs w:val="24"/>
              </w:rPr>
            </w:pPr>
            <w:r w:rsidRPr="0056764D">
              <w:rPr>
                <w:rFonts w:eastAsia="Calibri" w:cs="Arial"/>
                <w:sz w:val="24"/>
                <w:szCs w:val="24"/>
              </w:rPr>
              <w:t>City regions</w:t>
            </w:r>
          </w:p>
        </w:tc>
        <w:tc>
          <w:tcPr>
            <w:tcW w:w="4505" w:type="dxa"/>
          </w:tcPr>
          <w:p w14:paraId="0BF5B31B" w14:textId="77777777" w:rsidR="000D5D9B" w:rsidRPr="004C739B" w:rsidRDefault="000D5D9B" w:rsidP="00947A99">
            <w:pPr>
              <w:rPr>
                <w:rFonts w:eastAsia="Calibri" w:cs="Arial"/>
                <w:sz w:val="24"/>
                <w:szCs w:val="24"/>
              </w:rPr>
            </w:pPr>
            <w:r w:rsidRPr="004C739B">
              <w:rPr>
                <w:rFonts w:eastAsia="Calibri" w:cs="Arial"/>
                <w:sz w:val="24"/>
                <w:szCs w:val="24"/>
              </w:rPr>
              <w:t>Future of cities</w:t>
            </w:r>
          </w:p>
        </w:tc>
      </w:tr>
      <w:tr w:rsidR="000D5D9B" w:rsidRPr="0056764D" w14:paraId="52C27039" w14:textId="77777777" w:rsidTr="00947A99">
        <w:tc>
          <w:tcPr>
            <w:tcW w:w="4505" w:type="dxa"/>
            <w:vMerge/>
          </w:tcPr>
          <w:p w14:paraId="40AC264E" w14:textId="77777777" w:rsidR="000D5D9B" w:rsidRPr="0056764D" w:rsidRDefault="000D5D9B" w:rsidP="00947A99">
            <w:pPr>
              <w:rPr>
                <w:rFonts w:eastAsia="Calibri" w:cs="Arial"/>
                <w:sz w:val="24"/>
                <w:szCs w:val="24"/>
              </w:rPr>
            </w:pPr>
          </w:p>
        </w:tc>
        <w:tc>
          <w:tcPr>
            <w:tcW w:w="4505" w:type="dxa"/>
          </w:tcPr>
          <w:p w14:paraId="274665F7" w14:textId="77777777" w:rsidR="000D5D9B" w:rsidRPr="004C739B" w:rsidRDefault="000D5D9B" w:rsidP="00947A99">
            <w:pPr>
              <w:rPr>
                <w:rFonts w:eastAsia="Calibri" w:cs="Arial"/>
                <w:sz w:val="24"/>
                <w:szCs w:val="24"/>
              </w:rPr>
            </w:pPr>
            <w:r w:rsidRPr="004C739B">
              <w:rPr>
                <w:rFonts w:eastAsia="Calibri" w:cs="Arial"/>
                <w:sz w:val="24"/>
                <w:szCs w:val="24"/>
              </w:rPr>
              <w:t>Levelling Up</w:t>
            </w:r>
          </w:p>
        </w:tc>
      </w:tr>
      <w:tr w:rsidR="000D5D9B" w:rsidRPr="0056764D" w14:paraId="15F73256" w14:textId="77777777" w:rsidTr="00947A99">
        <w:tc>
          <w:tcPr>
            <w:tcW w:w="4505" w:type="dxa"/>
            <w:vMerge/>
          </w:tcPr>
          <w:p w14:paraId="08581D17" w14:textId="77777777" w:rsidR="000D5D9B" w:rsidRPr="0056764D" w:rsidRDefault="000D5D9B" w:rsidP="00947A99">
            <w:pPr>
              <w:rPr>
                <w:rFonts w:eastAsia="Calibri" w:cs="Arial"/>
                <w:sz w:val="24"/>
                <w:szCs w:val="24"/>
              </w:rPr>
            </w:pPr>
          </w:p>
        </w:tc>
        <w:tc>
          <w:tcPr>
            <w:tcW w:w="4505" w:type="dxa"/>
          </w:tcPr>
          <w:p w14:paraId="3760C1CA" w14:textId="3E84B8F9" w:rsidR="000D5D9B" w:rsidRPr="004C739B" w:rsidRDefault="000D5D9B" w:rsidP="00947A99">
            <w:pPr>
              <w:rPr>
                <w:rFonts w:eastAsia="Calibri" w:cs="Arial"/>
                <w:sz w:val="24"/>
                <w:szCs w:val="24"/>
              </w:rPr>
            </w:pPr>
            <w:r w:rsidRPr="004C739B">
              <w:rPr>
                <w:rFonts w:eastAsia="Calibri" w:cs="Arial"/>
                <w:sz w:val="24"/>
                <w:szCs w:val="24"/>
              </w:rPr>
              <w:t xml:space="preserve">Urban resilience: identify the challenges and opportunities facing leaders in urban areas looking to build resilient communities. </w:t>
            </w:r>
            <w:r w:rsidR="001C6781">
              <w:rPr>
                <w:rFonts w:eastAsia="Calibri" w:cs="Arial"/>
                <w:sz w:val="24"/>
                <w:szCs w:val="24"/>
              </w:rPr>
              <w:t>This work is initially focusing on understanding heat mapping work in Bristol.</w:t>
            </w:r>
          </w:p>
        </w:tc>
      </w:tr>
      <w:tr w:rsidR="000D5D9B" w:rsidRPr="0056764D" w14:paraId="06AF95F4" w14:textId="77777777" w:rsidTr="00947A99">
        <w:tc>
          <w:tcPr>
            <w:tcW w:w="4505" w:type="dxa"/>
            <w:vMerge/>
          </w:tcPr>
          <w:p w14:paraId="4752B973" w14:textId="77777777" w:rsidR="000D5D9B" w:rsidRPr="0056764D" w:rsidRDefault="000D5D9B" w:rsidP="00947A99">
            <w:pPr>
              <w:rPr>
                <w:rFonts w:eastAsia="Calibri" w:cs="Arial"/>
                <w:sz w:val="24"/>
                <w:szCs w:val="24"/>
              </w:rPr>
            </w:pPr>
          </w:p>
        </w:tc>
        <w:tc>
          <w:tcPr>
            <w:tcW w:w="4505" w:type="dxa"/>
          </w:tcPr>
          <w:p w14:paraId="4BA1510F" w14:textId="77777777" w:rsidR="000D5D9B" w:rsidRPr="004C739B" w:rsidRDefault="000D5D9B" w:rsidP="00947A99">
            <w:pPr>
              <w:rPr>
                <w:rFonts w:eastAsia="Calibri" w:cs="Arial"/>
                <w:sz w:val="24"/>
                <w:szCs w:val="24"/>
              </w:rPr>
            </w:pPr>
            <w:r w:rsidRPr="004C739B">
              <w:rPr>
                <w:rFonts w:eastAsia="Calibri" w:cs="Arial"/>
                <w:sz w:val="24"/>
                <w:szCs w:val="24"/>
              </w:rPr>
              <w:t>Green jobs</w:t>
            </w:r>
          </w:p>
        </w:tc>
      </w:tr>
      <w:tr w:rsidR="000D5D9B" w:rsidRPr="0056764D" w14:paraId="70D0256C" w14:textId="77777777" w:rsidTr="00947A99">
        <w:tc>
          <w:tcPr>
            <w:tcW w:w="4505" w:type="dxa"/>
            <w:vMerge/>
          </w:tcPr>
          <w:p w14:paraId="19185B87" w14:textId="77777777" w:rsidR="000D5D9B" w:rsidRPr="0056764D" w:rsidRDefault="000D5D9B" w:rsidP="00947A99">
            <w:pPr>
              <w:rPr>
                <w:rFonts w:eastAsia="Calibri" w:cs="Arial"/>
                <w:sz w:val="24"/>
                <w:szCs w:val="24"/>
              </w:rPr>
            </w:pPr>
          </w:p>
        </w:tc>
        <w:tc>
          <w:tcPr>
            <w:tcW w:w="4505" w:type="dxa"/>
          </w:tcPr>
          <w:p w14:paraId="567C121F" w14:textId="77777777" w:rsidR="000D5D9B" w:rsidRPr="004C739B" w:rsidRDefault="000D5D9B" w:rsidP="00947A99">
            <w:pPr>
              <w:rPr>
                <w:rFonts w:eastAsia="Calibri" w:cs="Arial"/>
                <w:sz w:val="24"/>
                <w:szCs w:val="24"/>
              </w:rPr>
            </w:pPr>
            <w:r w:rsidRPr="004C739B">
              <w:rPr>
                <w:rFonts w:eastAsia="Calibri" w:cs="Arial"/>
                <w:sz w:val="24"/>
                <w:szCs w:val="24"/>
              </w:rPr>
              <w:t>Growth funding</w:t>
            </w:r>
          </w:p>
        </w:tc>
      </w:tr>
      <w:tr w:rsidR="000D5D9B" w:rsidRPr="0056764D" w14:paraId="287625D5" w14:textId="77777777" w:rsidTr="00947A99">
        <w:tc>
          <w:tcPr>
            <w:tcW w:w="4505" w:type="dxa"/>
            <w:vMerge w:val="restart"/>
          </w:tcPr>
          <w:p w14:paraId="7C388B3B" w14:textId="77777777" w:rsidR="000D5D9B" w:rsidRPr="0056764D" w:rsidRDefault="000D5D9B" w:rsidP="00947A99">
            <w:pPr>
              <w:rPr>
                <w:rFonts w:eastAsia="Calibri" w:cs="Arial"/>
                <w:sz w:val="24"/>
                <w:szCs w:val="24"/>
              </w:rPr>
            </w:pPr>
            <w:r w:rsidRPr="0056764D">
              <w:rPr>
                <w:rFonts w:eastAsia="Calibri" w:cs="Arial"/>
                <w:sz w:val="24"/>
                <w:szCs w:val="24"/>
              </w:rPr>
              <w:t>Environment, Economy, Housing and Transport Board</w:t>
            </w:r>
          </w:p>
        </w:tc>
        <w:tc>
          <w:tcPr>
            <w:tcW w:w="4505" w:type="dxa"/>
          </w:tcPr>
          <w:p w14:paraId="3F400491" w14:textId="77777777" w:rsidR="000D5D9B" w:rsidRPr="004C739B" w:rsidRDefault="000D5D9B" w:rsidP="00947A99">
            <w:pPr>
              <w:rPr>
                <w:rFonts w:eastAsia="Calibri" w:cs="Arial"/>
                <w:sz w:val="24"/>
                <w:szCs w:val="24"/>
              </w:rPr>
            </w:pPr>
            <w:r w:rsidRPr="004C739B">
              <w:rPr>
                <w:rFonts w:eastAsia="Calibri" w:cs="Arial"/>
                <w:sz w:val="24"/>
                <w:szCs w:val="24"/>
              </w:rPr>
              <w:t xml:space="preserve">Environment: </w:t>
            </w:r>
          </w:p>
          <w:p w14:paraId="0DE823BA" w14:textId="77777777" w:rsidR="000D5D9B" w:rsidRPr="004C739B" w:rsidRDefault="000D5D9B" w:rsidP="000D5D9B">
            <w:pPr>
              <w:pStyle w:val="ListParagraph"/>
              <w:numPr>
                <w:ilvl w:val="0"/>
                <w:numId w:val="32"/>
              </w:numPr>
              <w:spacing w:after="0"/>
              <w:rPr>
                <w:rFonts w:eastAsia="Calibri" w:cs="Arial"/>
                <w:sz w:val="24"/>
                <w:szCs w:val="24"/>
              </w:rPr>
            </w:pPr>
            <w:r w:rsidRPr="004C739B">
              <w:rPr>
                <w:rFonts w:eastAsia="Calibri" w:cs="Arial"/>
                <w:sz w:val="24"/>
                <w:szCs w:val="24"/>
              </w:rPr>
              <w:t>Environmental reforms</w:t>
            </w:r>
          </w:p>
          <w:p w14:paraId="5A9F3D02" w14:textId="77777777" w:rsidR="000D5D9B" w:rsidRPr="004C739B" w:rsidRDefault="000D5D9B" w:rsidP="000D5D9B">
            <w:pPr>
              <w:pStyle w:val="ListParagraph"/>
              <w:numPr>
                <w:ilvl w:val="0"/>
                <w:numId w:val="32"/>
              </w:numPr>
              <w:spacing w:after="0"/>
              <w:rPr>
                <w:rFonts w:eastAsia="Calibri" w:cs="Arial"/>
                <w:sz w:val="24"/>
                <w:szCs w:val="24"/>
              </w:rPr>
            </w:pPr>
            <w:r w:rsidRPr="004C739B">
              <w:rPr>
                <w:rFonts w:eastAsia="Calibri" w:cs="Arial"/>
                <w:sz w:val="24"/>
                <w:szCs w:val="24"/>
              </w:rPr>
              <w:t>Flooding</w:t>
            </w:r>
          </w:p>
          <w:p w14:paraId="7A1AE11E" w14:textId="77777777" w:rsidR="000D5D9B" w:rsidRPr="004C739B" w:rsidRDefault="000D5D9B" w:rsidP="000D5D9B">
            <w:pPr>
              <w:pStyle w:val="ListParagraph"/>
              <w:numPr>
                <w:ilvl w:val="0"/>
                <w:numId w:val="32"/>
              </w:numPr>
              <w:spacing w:after="0"/>
              <w:rPr>
                <w:rFonts w:eastAsia="Calibri" w:cs="Arial"/>
                <w:sz w:val="24"/>
                <w:szCs w:val="24"/>
              </w:rPr>
            </w:pPr>
            <w:r w:rsidRPr="004C739B">
              <w:rPr>
                <w:rFonts w:eastAsia="Calibri" w:cs="Arial"/>
                <w:sz w:val="24"/>
                <w:szCs w:val="24"/>
              </w:rPr>
              <w:t>Air quality</w:t>
            </w:r>
          </w:p>
          <w:p w14:paraId="20423EF6" w14:textId="743B26D1" w:rsidR="000D5D9B" w:rsidRPr="004C739B" w:rsidRDefault="000D5D9B" w:rsidP="000D5D9B">
            <w:pPr>
              <w:pStyle w:val="ListParagraph"/>
              <w:numPr>
                <w:ilvl w:val="0"/>
                <w:numId w:val="32"/>
              </w:numPr>
              <w:spacing w:after="0"/>
              <w:rPr>
                <w:rFonts w:eastAsia="Calibri" w:cs="Arial"/>
                <w:sz w:val="24"/>
                <w:szCs w:val="24"/>
              </w:rPr>
            </w:pPr>
            <w:r w:rsidRPr="004C739B">
              <w:rPr>
                <w:rFonts w:eastAsia="Calibri" w:cs="Arial"/>
                <w:sz w:val="24"/>
                <w:szCs w:val="24"/>
              </w:rPr>
              <w:t>Climate change</w:t>
            </w:r>
          </w:p>
        </w:tc>
      </w:tr>
      <w:tr w:rsidR="000D5D9B" w:rsidRPr="0056764D" w14:paraId="7A2A0042" w14:textId="77777777" w:rsidTr="00947A99">
        <w:tc>
          <w:tcPr>
            <w:tcW w:w="4505" w:type="dxa"/>
            <w:vMerge/>
          </w:tcPr>
          <w:p w14:paraId="57961446" w14:textId="77777777" w:rsidR="000D5D9B" w:rsidRPr="0056764D" w:rsidRDefault="000D5D9B" w:rsidP="00947A99">
            <w:pPr>
              <w:rPr>
                <w:rFonts w:eastAsia="Calibri" w:cs="Arial"/>
                <w:sz w:val="24"/>
                <w:szCs w:val="24"/>
              </w:rPr>
            </w:pPr>
          </w:p>
        </w:tc>
        <w:tc>
          <w:tcPr>
            <w:tcW w:w="4505" w:type="dxa"/>
          </w:tcPr>
          <w:p w14:paraId="3394AE9A" w14:textId="77777777" w:rsidR="000D5D9B" w:rsidRPr="004C739B" w:rsidRDefault="000D5D9B" w:rsidP="00947A99">
            <w:pPr>
              <w:rPr>
                <w:rFonts w:eastAsia="Calibri" w:cs="Arial"/>
                <w:sz w:val="24"/>
                <w:szCs w:val="24"/>
              </w:rPr>
            </w:pPr>
            <w:r w:rsidRPr="004C739B">
              <w:rPr>
                <w:rFonts w:eastAsia="Calibri" w:cs="Arial"/>
                <w:sz w:val="24"/>
                <w:szCs w:val="24"/>
              </w:rPr>
              <w:t xml:space="preserve">Economy: </w:t>
            </w:r>
          </w:p>
          <w:p w14:paraId="69FB165F" w14:textId="77777777" w:rsidR="000D5D9B" w:rsidRPr="004C739B" w:rsidRDefault="000D5D9B" w:rsidP="000D5D9B">
            <w:pPr>
              <w:pStyle w:val="ListParagraph"/>
              <w:numPr>
                <w:ilvl w:val="0"/>
                <w:numId w:val="31"/>
              </w:numPr>
              <w:spacing w:after="0"/>
              <w:rPr>
                <w:rFonts w:eastAsia="Calibri" w:cs="Arial"/>
                <w:sz w:val="24"/>
                <w:szCs w:val="24"/>
              </w:rPr>
            </w:pPr>
            <w:r w:rsidRPr="004C739B">
              <w:rPr>
                <w:rFonts w:eastAsia="Calibri" w:cs="Arial"/>
                <w:sz w:val="24"/>
                <w:szCs w:val="24"/>
              </w:rPr>
              <w:lastRenderedPageBreak/>
              <w:t>High streets and town centres</w:t>
            </w:r>
            <w:r w:rsidRPr="004C739B">
              <w:rPr>
                <w:rFonts w:eastAsia="Calibri" w:cs="Arial"/>
                <w:sz w:val="24"/>
                <w:szCs w:val="24"/>
              </w:rPr>
              <w:br/>
              <w:t xml:space="preserve">Organising and delivering economic growth support </w:t>
            </w:r>
          </w:p>
          <w:p w14:paraId="60961ED7" w14:textId="77777777" w:rsidR="000D5D9B" w:rsidRPr="004C739B" w:rsidRDefault="000D5D9B" w:rsidP="000D5D9B">
            <w:pPr>
              <w:pStyle w:val="ListParagraph"/>
              <w:numPr>
                <w:ilvl w:val="0"/>
                <w:numId w:val="31"/>
              </w:numPr>
              <w:spacing w:after="0"/>
              <w:rPr>
                <w:rFonts w:eastAsia="Calibri" w:cs="Arial"/>
                <w:sz w:val="24"/>
                <w:szCs w:val="24"/>
              </w:rPr>
            </w:pPr>
            <w:r w:rsidRPr="004C739B">
              <w:rPr>
                <w:rFonts w:eastAsia="Calibri" w:cs="Arial"/>
                <w:sz w:val="24"/>
                <w:szCs w:val="24"/>
              </w:rPr>
              <w:t>Promoting green growth opportunities</w:t>
            </w:r>
          </w:p>
        </w:tc>
      </w:tr>
      <w:tr w:rsidR="000D5D9B" w:rsidRPr="0056764D" w14:paraId="16176B89" w14:textId="77777777" w:rsidTr="00947A99">
        <w:tc>
          <w:tcPr>
            <w:tcW w:w="4505" w:type="dxa"/>
            <w:vMerge/>
          </w:tcPr>
          <w:p w14:paraId="3858E23B" w14:textId="77777777" w:rsidR="000D5D9B" w:rsidRPr="0056764D" w:rsidRDefault="000D5D9B" w:rsidP="00947A99">
            <w:pPr>
              <w:rPr>
                <w:rFonts w:eastAsia="Calibri" w:cs="Arial"/>
                <w:sz w:val="24"/>
                <w:szCs w:val="24"/>
              </w:rPr>
            </w:pPr>
          </w:p>
        </w:tc>
        <w:tc>
          <w:tcPr>
            <w:tcW w:w="4505" w:type="dxa"/>
          </w:tcPr>
          <w:p w14:paraId="44EBCDD2" w14:textId="77777777" w:rsidR="000D5D9B" w:rsidRPr="004C739B" w:rsidRDefault="000D5D9B" w:rsidP="00947A99">
            <w:pPr>
              <w:rPr>
                <w:rFonts w:eastAsia="Calibri" w:cs="Arial"/>
                <w:sz w:val="24"/>
                <w:szCs w:val="24"/>
              </w:rPr>
            </w:pPr>
            <w:r w:rsidRPr="004C739B">
              <w:rPr>
                <w:rFonts w:eastAsia="Calibri" w:cs="Arial"/>
                <w:sz w:val="24"/>
                <w:szCs w:val="24"/>
              </w:rPr>
              <w:t xml:space="preserve">Housing, planning and homelessness: </w:t>
            </w:r>
          </w:p>
          <w:p w14:paraId="2543C9B5" w14:textId="77777777" w:rsidR="000D5D9B" w:rsidRPr="004C739B" w:rsidRDefault="000D5D9B" w:rsidP="000D5D9B">
            <w:pPr>
              <w:pStyle w:val="ListParagraph"/>
              <w:numPr>
                <w:ilvl w:val="0"/>
                <w:numId w:val="30"/>
              </w:numPr>
              <w:spacing w:after="0"/>
              <w:rPr>
                <w:rFonts w:eastAsia="Calibri" w:cs="Arial"/>
                <w:sz w:val="24"/>
                <w:szCs w:val="24"/>
              </w:rPr>
            </w:pPr>
            <w:r w:rsidRPr="004C739B">
              <w:rPr>
                <w:rFonts w:eastAsia="Calibri" w:cs="Arial"/>
                <w:sz w:val="24"/>
                <w:szCs w:val="24"/>
              </w:rPr>
              <w:t>Planning reforms</w:t>
            </w:r>
          </w:p>
          <w:p w14:paraId="349DE51E" w14:textId="77777777" w:rsidR="000D5D9B" w:rsidRPr="004C739B" w:rsidRDefault="000D5D9B" w:rsidP="000D5D9B">
            <w:pPr>
              <w:pStyle w:val="ListParagraph"/>
              <w:numPr>
                <w:ilvl w:val="0"/>
                <w:numId w:val="30"/>
              </w:numPr>
              <w:spacing w:after="0"/>
              <w:rPr>
                <w:rFonts w:eastAsia="Calibri" w:cs="Arial"/>
                <w:sz w:val="24"/>
                <w:szCs w:val="24"/>
              </w:rPr>
            </w:pPr>
            <w:r w:rsidRPr="004C739B">
              <w:rPr>
                <w:rFonts w:eastAsia="Calibri" w:cs="Arial"/>
                <w:sz w:val="24"/>
                <w:szCs w:val="24"/>
              </w:rPr>
              <w:t>Delivering more homes</w:t>
            </w:r>
          </w:p>
          <w:p w14:paraId="286B8ADD" w14:textId="77777777" w:rsidR="000D5D9B" w:rsidRPr="004C739B" w:rsidRDefault="000D5D9B" w:rsidP="000D5D9B">
            <w:pPr>
              <w:pStyle w:val="ListParagraph"/>
              <w:numPr>
                <w:ilvl w:val="0"/>
                <w:numId w:val="30"/>
              </w:numPr>
              <w:spacing w:after="0"/>
              <w:rPr>
                <w:rFonts w:eastAsia="Calibri" w:cs="Arial"/>
                <w:sz w:val="24"/>
                <w:szCs w:val="24"/>
              </w:rPr>
            </w:pPr>
            <w:r w:rsidRPr="004C739B">
              <w:rPr>
                <w:rFonts w:eastAsia="Calibri" w:cs="Arial"/>
                <w:sz w:val="24"/>
                <w:szCs w:val="24"/>
              </w:rPr>
              <w:t>Social housing quality</w:t>
            </w:r>
          </w:p>
          <w:p w14:paraId="40BB0764" w14:textId="77777777" w:rsidR="000D5D9B" w:rsidRPr="004C739B" w:rsidRDefault="000D5D9B" w:rsidP="000D5D9B">
            <w:pPr>
              <w:pStyle w:val="ListParagraph"/>
              <w:numPr>
                <w:ilvl w:val="0"/>
                <w:numId w:val="30"/>
              </w:numPr>
              <w:spacing w:after="0"/>
              <w:rPr>
                <w:rFonts w:eastAsia="Calibri" w:cs="Arial"/>
                <w:sz w:val="24"/>
                <w:szCs w:val="24"/>
              </w:rPr>
            </w:pPr>
            <w:r w:rsidRPr="004C739B">
              <w:rPr>
                <w:rFonts w:eastAsia="Calibri" w:cs="Arial"/>
                <w:sz w:val="24"/>
                <w:szCs w:val="24"/>
              </w:rPr>
              <w:t>Housing improvement programme</w:t>
            </w:r>
          </w:p>
          <w:p w14:paraId="62176FA0" w14:textId="77777777" w:rsidR="000D5D9B" w:rsidRPr="004C739B" w:rsidRDefault="000D5D9B" w:rsidP="000D5D9B">
            <w:pPr>
              <w:pStyle w:val="ListParagraph"/>
              <w:numPr>
                <w:ilvl w:val="0"/>
                <w:numId w:val="30"/>
              </w:numPr>
              <w:spacing w:after="0"/>
              <w:rPr>
                <w:rFonts w:eastAsia="Calibri" w:cs="Arial"/>
                <w:sz w:val="24"/>
                <w:szCs w:val="24"/>
              </w:rPr>
            </w:pPr>
            <w:r w:rsidRPr="004C739B">
              <w:rPr>
                <w:rFonts w:eastAsia="Calibri" w:cs="Arial"/>
                <w:sz w:val="24"/>
                <w:szCs w:val="24"/>
              </w:rPr>
              <w:t>Private rented sector</w:t>
            </w:r>
          </w:p>
          <w:p w14:paraId="38224755" w14:textId="77777777" w:rsidR="000D5D9B" w:rsidRPr="004C739B" w:rsidRDefault="000D5D9B" w:rsidP="000D5D9B">
            <w:pPr>
              <w:pStyle w:val="ListParagraph"/>
              <w:numPr>
                <w:ilvl w:val="0"/>
                <w:numId w:val="30"/>
              </w:numPr>
              <w:spacing w:after="0"/>
              <w:rPr>
                <w:rFonts w:eastAsia="Calibri" w:cs="Arial"/>
                <w:sz w:val="24"/>
                <w:szCs w:val="24"/>
              </w:rPr>
            </w:pPr>
            <w:r w:rsidRPr="004C739B">
              <w:rPr>
                <w:rFonts w:eastAsia="Calibri" w:cs="Arial"/>
                <w:sz w:val="24"/>
                <w:szCs w:val="24"/>
              </w:rPr>
              <w:t>Homelessness</w:t>
            </w:r>
          </w:p>
        </w:tc>
      </w:tr>
      <w:tr w:rsidR="000D5D9B" w:rsidRPr="0056764D" w14:paraId="5A37E2AB" w14:textId="77777777" w:rsidTr="00947A99">
        <w:tc>
          <w:tcPr>
            <w:tcW w:w="4505" w:type="dxa"/>
            <w:vMerge/>
          </w:tcPr>
          <w:p w14:paraId="1B853094" w14:textId="77777777" w:rsidR="000D5D9B" w:rsidRPr="0056764D" w:rsidRDefault="000D5D9B" w:rsidP="00947A99">
            <w:pPr>
              <w:rPr>
                <w:rFonts w:eastAsia="Calibri" w:cs="Arial"/>
                <w:sz w:val="24"/>
                <w:szCs w:val="24"/>
              </w:rPr>
            </w:pPr>
          </w:p>
        </w:tc>
        <w:tc>
          <w:tcPr>
            <w:tcW w:w="4505" w:type="dxa"/>
          </w:tcPr>
          <w:p w14:paraId="7D6B389D" w14:textId="77777777" w:rsidR="000D5D9B" w:rsidRPr="004C739B" w:rsidRDefault="000D5D9B" w:rsidP="000D5D9B">
            <w:pPr>
              <w:rPr>
                <w:rFonts w:eastAsia="Calibri" w:cs="Arial"/>
                <w:sz w:val="24"/>
                <w:szCs w:val="24"/>
              </w:rPr>
            </w:pPr>
            <w:r w:rsidRPr="004C739B">
              <w:rPr>
                <w:rFonts w:eastAsia="Calibri" w:cs="Arial"/>
                <w:sz w:val="24"/>
                <w:szCs w:val="24"/>
              </w:rPr>
              <w:t>Transport:</w:t>
            </w:r>
          </w:p>
          <w:p w14:paraId="1567E66F" w14:textId="77777777" w:rsidR="000D5D9B" w:rsidRPr="004C739B" w:rsidRDefault="000D5D9B" w:rsidP="000D5D9B">
            <w:pPr>
              <w:pStyle w:val="ListParagraph"/>
              <w:numPr>
                <w:ilvl w:val="0"/>
                <w:numId w:val="29"/>
              </w:numPr>
              <w:spacing w:after="0"/>
              <w:rPr>
                <w:rFonts w:eastAsia="Calibri" w:cs="Arial"/>
                <w:sz w:val="24"/>
                <w:szCs w:val="24"/>
              </w:rPr>
            </w:pPr>
            <w:r w:rsidRPr="004C739B">
              <w:rPr>
                <w:rFonts w:eastAsia="Calibri" w:cs="Arial"/>
                <w:sz w:val="24"/>
                <w:szCs w:val="24"/>
              </w:rPr>
              <w:t>Dealing with highway obstructions</w:t>
            </w:r>
          </w:p>
          <w:p w14:paraId="63AEEEC1" w14:textId="73757DE2" w:rsidR="000D5D9B" w:rsidRPr="004C739B" w:rsidRDefault="000D5D9B" w:rsidP="000D5D9B">
            <w:pPr>
              <w:pStyle w:val="ListParagraph"/>
              <w:numPr>
                <w:ilvl w:val="0"/>
                <w:numId w:val="29"/>
              </w:numPr>
              <w:spacing w:after="0"/>
              <w:rPr>
                <w:rFonts w:eastAsia="Calibri" w:cs="Arial"/>
                <w:sz w:val="24"/>
                <w:szCs w:val="24"/>
              </w:rPr>
            </w:pPr>
            <w:r w:rsidRPr="004C739B">
              <w:rPr>
                <w:rFonts w:eastAsia="Calibri" w:cs="Arial"/>
                <w:sz w:val="24"/>
                <w:szCs w:val="24"/>
              </w:rPr>
              <w:t xml:space="preserve">Electric vehicle charging </w:t>
            </w:r>
          </w:p>
          <w:p w14:paraId="490A5341" w14:textId="77777777"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Highway maintenance</w:t>
            </w:r>
          </w:p>
          <w:p w14:paraId="2C28C918" w14:textId="77777777"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Freight</w:t>
            </w:r>
          </w:p>
          <w:p w14:paraId="62C333D4" w14:textId="77777777" w:rsidR="00C3419A"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Buses</w:t>
            </w:r>
          </w:p>
          <w:p w14:paraId="33B76773" w14:textId="639B9580"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 xml:space="preserve">Active travel </w:t>
            </w:r>
          </w:p>
          <w:p w14:paraId="1E08766E" w14:textId="77777777"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Drones</w:t>
            </w:r>
          </w:p>
          <w:p w14:paraId="45B410A9" w14:textId="77777777"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Manage demand for car use</w:t>
            </w:r>
          </w:p>
          <w:p w14:paraId="27EFEDCD" w14:textId="77777777"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Local Transport Plans</w:t>
            </w:r>
          </w:p>
          <w:p w14:paraId="3A82931C" w14:textId="77777777"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Car share</w:t>
            </w:r>
          </w:p>
          <w:p w14:paraId="3E527782" w14:textId="77777777"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Road pricing</w:t>
            </w:r>
          </w:p>
          <w:p w14:paraId="7CBF8400" w14:textId="77777777" w:rsidR="000D5D9B" w:rsidRPr="004C739B" w:rsidRDefault="000D5D9B" w:rsidP="000D5D9B">
            <w:pPr>
              <w:pStyle w:val="ListParagraph"/>
              <w:numPr>
                <w:ilvl w:val="0"/>
                <w:numId w:val="28"/>
              </w:numPr>
              <w:spacing w:after="0"/>
              <w:rPr>
                <w:rFonts w:eastAsia="Calibri" w:cs="Arial"/>
                <w:sz w:val="24"/>
                <w:szCs w:val="24"/>
              </w:rPr>
            </w:pPr>
            <w:r w:rsidRPr="004C739B">
              <w:rPr>
                <w:rFonts w:eastAsia="Calibri" w:cs="Arial"/>
                <w:sz w:val="24"/>
                <w:szCs w:val="24"/>
              </w:rPr>
              <w:t>Parking</w:t>
            </w:r>
          </w:p>
        </w:tc>
      </w:tr>
    </w:tbl>
    <w:p w14:paraId="01A9C3CF" w14:textId="3F321122" w:rsidR="005B0B07" w:rsidRDefault="005B0B07" w:rsidP="00BE78C1">
      <w:pPr>
        <w:pStyle w:val="ListParagraph"/>
        <w:ind w:left="360" w:firstLine="0"/>
        <w:rPr>
          <w:rStyle w:val="ReportTemplate"/>
          <w:color w:val="C00000"/>
        </w:rPr>
      </w:pPr>
    </w:p>
    <w:p w14:paraId="0C0BC01C" w14:textId="617C8379" w:rsidR="00BE78C1" w:rsidRPr="00AE3C7A" w:rsidRDefault="00496D21" w:rsidP="009B6737">
      <w:pPr>
        <w:pStyle w:val="ListParagraph"/>
        <w:numPr>
          <w:ilvl w:val="0"/>
          <w:numId w:val="26"/>
        </w:numPr>
        <w:rPr>
          <w:rStyle w:val="ReportTemplate"/>
        </w:rPr>
      </w:pPr>
      <w:r w:rsidRPr="00AE3C7A">
        <w:rPr>
          <w:rStyle w:val="ReportTemplate"/>
        </w:rPr>
        <w:t xml:space="preserve">We would welcome the Board’s reflections on where there may be overlaps with the </w:t>
      </w:r>
      <w:r w:rsidR="00AE3C7A" w:rsidRPr="00AE3C7A">
        <w:rPr>
          <w:rStyle w:val="ReportTemplate"/>
        </w:rPr>
        <w:t xml:space="preserve">SSCB’s agreed priorities, and on </w:t>
      </w:r>
      <w:r w:rsidRPr="00AE3C7A">
        <w:rPr>
          <w:rStyle w:val="ReportTemplate"/>
        </w:rPr>
        <w:t>any areas of joint interest</w:t>
      </w:r>
      <w:r w:rsidR="00AE3C7A" w:rsidRPr="00AE3C7A">
        <w:rPr>
          <w:rStyle w:val="ReportTemplate"/>
        </w:rPr>
        <w:t>.</w:t>
      </w:r>
    </w:p>
    <w:p w14:paraId="07CFEFBF" w14:textId="77777777" w:rsidR="005B0B07" w:rsidRPr="001F7251" w:rsidRDefault="005B0B07" w:rsidP="005B0B07">
      <w:pPr>
        <w:pStyle w:val="Heading2"/>
        <w:rPr>
          <w:color w:val="auto"/>
          <w:sz w:val="24"/>
          <w:szCs w:val="24"/>
        </w:rPr>
      </w:pPr>
      <w:r w:rsidRPr="001F7251">
        <w:rPr>
          <w:color w:val="auto"/>
          <w:sz w:val="24"/>
          <w:szCs w:val="24"/>
        </w:rPr>
        <w:t xml:space="preserve">Implications for Wales </w:t>
      </w:r>
    </w:p>
    <w:p w14:paraId="39157FDC" w14:textId="22CDD6C6" w:rsidR="00803F83" w:rsidRPr="00803F83" w:rsidRDefault="00952689" w:rsidP="009B6737">
      <w:pPr>
        <w:pStyle w:val="ListParagraph"/>
        <w:numPr>
          <w:ilvl w:val="0"/>
          <w:numId w:val="26"/>
        </w:numPr>
        <w:rPr>
          <w:color w:val="C00000"/>
        </w:rPr>
      </w:pPr>
      <w:r>
        <w:rPr>
          <w:rStyle w:val="ReportTemplate"/>
        </w:rPr>
        <w:t xml:space="preserve">The </w:t>
      </w:r>
      <w:r w:rsidR="00D85B10">
        <w:rPr>
          <w:rStyle w:val="ReportTemplate"/>
        </w:rPr>
        <w:t>LGA Plan</w:t>
      </w:r>
      <w:r w:rsidR="00624667">
        <w:rPr>
          <w:rStyle w:val="ReportTemplate"/>
        </w:rPr>
        <w:t xml:space="preserve"> includes </w:t>
      </w:r>
      <w:r w:rsidR="001349C1">
        <w:rPr>
          <w:rStyle w:val="ReportTemplate"/>
        </w:rPr>
        <w:t xml:space="preserve">the </w:t>
      </w:r>
      <w:r w:rsidR="00624667">
        <w:rPr>
          <w:rStyle w:val="ReportTemplate"/>
        </w:rPr>
        <w:t>support</w:t>
      </w:r>
      <w:r w:rsidR="001349C1">
        <w:rPr>
          <w:rStyle w:val="ReportTemplate"/>
        </w:rPr>
        <w:t xml:space="preserve"> that we provide</w:t>
      </w:r>
      <w:r w:rsidR="00624667">
        <w:rPr>
          <w:rStyle w:val="ReportTemplate"/>
        </w:rPr>
        <w:t xml:space="preserve"> to the 22 Welsh councils, in membership</w:t>
      </w:r>
      <w:r w:rsidR="001349C1">
        <w:rPr>
          <w:rStyle w:val="ReportTemplate"/>
        </w:rPr>
        <w:t xml:space="preserve"> of the LGA</w:t>
      </w:r>
      <w:r w:rsidR="00624667">
        <w:rPr>
          <w:rStyle w:val="ReportTemplate"/>
        </w:rPr>
        <w:t xml:space="preserve"> through the Welsh LGA</w:t>
      </w:r>
      <w:r>
        <w:rPr>
          <w:rStyle w:val="ReportTemplate"/>
        </w:rPr>
        <w:t>.</w:t>
      </w:r>
      <w:r w:rsidR="00624667">
        <w:rPr>
          <w:rStyle w:val="ReportTemplate"/>
        </w:rPr>
        <w:t xml:space="preserve"> </w:t>
      </w:r>
      <w:r w:rsidR="00C4306C">
        <w:rPr>
          <w:rStyle w:val="ReportTemplate"/>
        </w:rPr>
        <w:t>However, s</w:t>
      </w:r>
      <w:r w:rsidR="00624667">
        <w:rPr>
          <w:rStyle w:val="ReportTemplate"/>
        </w:rPr>
        <w:t>ome central government grant-funded activities</w:t>
      </w:r>
      <w:r w:rsidR="001051D0">
        <w:rPr>
          <w:rStyle w:val="ReportTemplate"/>
        </w:rPr>
        <w:t xml:space="preserve"> do not include </w:t>
      </w:r>
      <w:r w:rsidR="00C4306C">
        <w:rPr>
          <w:rStyle w:val="ReportTemplate"/>
        </w:rPr>
        <w:t xml:space="preserve">support to </w:t>
      </w:r>
      <w:r w:rsidR="00923921">
        <w:rPr>
          <w:rStyle w:val="ReportTemplate"/>
        </w:rPr>
        <w:t xml:space="preserve">Wales, </w:t>
      </w:r>
      <w:r w:rsidR="00475D8E">
        <w:rPr>
          <w:rStyle w:val="ReportTemplate"/>
        </w:rPr>
        <w:t>where funding may be allocated through the Welsh government</w:t>
      </w:r>
      <w:r w:rsidR="00C4306C">
        <w:rPr>
          <w:rStyle w:val="ReportTemplate"/>
        </w:rPr>
        <w:t>.</w:t>
      </w:r>
    </w:p>
    <w:p w14:paraId="465D35E6" w14:textId="21505DEE" w:rsidR="00E81AC5" w:rsidRPr="001F7251" w:rsidRDefault="00E81AC5" w:rsidP="00AE33E9">
      <w:pPr>
        <w:pStyle w:val="Heading2"/>
        <w:rPr>
          <w:color w:val="auto"/>
          <w:sz w:val="24"/>
          <w:szCs w:val="24"/>
        </w:rPr>
      </w:pPr>
      <w:r w:rsidRPr="001F7251">
        <w:rPr>
          <w:color w:val="auto"/>
          <w:sz w:val="24"/>
          <w:szCs w:val="24"/>
        </w:rPr>
        <w:t xml:space="preserve">Financial </w:t>
      </w:r>
      <w:r w:rsidR="00C871AB">
        <w:rPr>
          <w:color w:val="auto"/>
          <w:sz w:val="24"/>
          <w:szCs w:val="24"/>
        </w:rPr>
        <w:t>i</w:t>
      </w:r>
      <w:r w:rsidRPr="001F7251">
        <w:rPr>
          <w:color w:val="auto"/>
          <w:sz w:val="24"/>
          <w:szCs w:val="24"/>
        </w:rPr>
        <w:t>mplications</w:t>
      </w:r>
      <w:r w:rsidR="00101F83" w:rsidRPr="001F7251">
        <w:rPr>
          <w:color w:val="auto"/>
          <w:sz w:val="24"/>
          <w:szCs w:val="24"/>
        </w:rPr>
        <w:t xml:space="preserve"> </w:t>
      </w:r>
      <w:r w:rsidR="00101F83" w:rsidRPr="001F7251">
        <w:rPr>
          <w:color w:val="C00000"/>
          <w:sz w:val="24"/>
          <w:szCs w:val="24"/>
        </w:rPr>
        <w:t xml:space="preserve"> </w:t>
      </w:r>
    </w:p>
    <w:p w14:paraId="673ECA1A" w14:textId="7E1A6FD8" w:rsidR="008E748E" w:rsidRPr="002422C3" w:rsidRDefault="00F80AB6" w:rsidP="00F80AB6">
      <w:pPr>
        <w:pStyle w:val="ListParagraph"/>
        <w:numPr>
          <w:ilvl w:val="0"/>
          <w:numId w:val="26"/>
        </w:numPr>
      </w:pPr>
      <w:r>
        <w:rPr>
          <w:rStyle w:val="ReportTemplate"/>
        </w:rPr>
        <w:t xml:space="preserve">Delivery of the LGA Plan </w:t>
      </w:r>
      <w:r w:rsidR="002D1E0D">
        <w:rPr>
          <w:rStyle w:val="ReportTemplate"/>
        </w:rPr>
        <w:t xml:space="preserve">and Board priorities </w:t>
      </w:r>
      <w:r>
        <w:rPr>
          <w:rStyle w:val="ReportTemplate"/>
        </w:rPr>
        <w:t>is reflected in the LGA’s medium term financial strategy</w:t>
      </w:r>
      <w:r w:rsidR="00963CF5">
        <w:rPr>
          <w:rStyle w:val="ReportTemplate"/>
        </w:rPr>
        <w:t>. Our internal business pri</w:t>
      </w:r>
      <w:r w:rsidR="001349C1">
        <w:rPr>
          <w:rStyle w:val="ReportTemplate"/>
        </w:rPr>
        <w:t>orities include priorities to ensure the financial sustainability of the LGA.</w:t>
      </w:r>
    </w:p>
    <w:p w14:paraId="43EB3207" w14:textId="5AE174E4" w:rsidR="001F77A5" w:rsidRPr="001F7251" w:rsidRDefault="006455C6" w:rsidP="00AE33E9">
      <w:pPr>
        <w:pStyle w:val="Heading2"/>
        <w:rPr>
          <w:color w:val="auto"/>
          <w:sz w:val="24"/>
          <w:szCs w:val="24"/>
        </w:rPr>
      </w:pPr>
      <w:r w:rsidRPr="001F7251">
        <w:rPr>
          <w:color w:val="auto"/>
          <w:sz w:val="24"/>
          <w:szCs w:val="24"/>
        </w:rPr>
        <w:t>Equalities implications</w:t>
      </w:r>
      <w:r w:rsidR="00B10AD7" w:rsidRPr="001F7251">
        <w:rPr>
          <w:color w:val="auto"/>
          <w:sz w:val="24"/>
          <w:szCs w:val="24"/>
        </w:rPr>
        <w:t xml:space="preserve"> </w:t>
      </w:r>
    </w:p>
    <w:p w14:paraId="5B92F865" w14:textId="694770C1" w:rsidR="00953728" w:rsidRPr="00952689" w:rsidRDefault="007900ED" w:rsidP="00963CF5">
      <w:pPr>
        <w:pStyle w:val="ListParagraph"/>
        <w:numPr>
          <w:ilvl w:val="0"/>
          <w:numId w:val="26"/>
        </w:numPr>
      </w:pPr>
      <w:r>
        <w:rPr>
          <w:rStyle w:val="ReportTemplate"/>
        </w:rPr>
        <w:t xml:space="preserve">Our internal business priorities include the delivery of the LGA’s </w:t>
      </w:r>
      <w:r w:rsidR="00535DBE">
        <w:rPr>
          <w:rStyle w:val="ReportTemplate"/>
        </w:rPr>
        <w:t>equalities strategy and action plan.</w:t>
      </w:r>
    </w:p>
    <w:p w14:paraId="0DD7D346" w14:textId="69CC002F" w:rsidR="00E81AC5" w:rsidRPr="001F7251" w:rsidRDefault="00E81AC5" w:rsidP="00AE33E9">
      <w:pPr>
        <w:pStyle w:val="Heading2"/>
        <w:rPr>
          <w:color w:val="auto"/>
          <w:sz w:val="24"/>
          <w:szCs w:val="24"/>
        </w:rPr>
      </w:pPr>
      <w:r w:rsidRPr="001F7251">
        <w:rPr>
          <w:color w:val="auto"/>
          <w:sz w:val="24"/>
          <w:szCs w:val="24"/>
        </w:rPr>
        <w:lastRenderedPageBreak/>
        <w:t>Next steps</w:t>
      </w:r>
      <w:r w:rsidR="00B10AD7" w:rsidRPr="001F7251">
        <w:rPr>
          <w:color w:val="auto"/>
          <w:sz w:val="24"/>
          <w:szCs w:val="24"/>
        </w:rPr>
        <w:t xml:space="preserve"> </w:t>
      </w:r>
    </w:p>
    <w:p w14:paraId="19415656" w14:textId="28B5E880" w:rsidR="00FA1A37" w:rsidRDefault="00C13801" w:rsidP="00535DBE">
      <w:pPr>
        <w:pStyle w:val="ListParagraph"/>
        <w:numPr>
          <w:ilvl w:val="0"/>
          <w:numId w:val="26"/>
        </w:numPr>
      </w:pPr>
      <w:r>
        <w:t xml:space="preserve">Subject to members’ comments, </w:t>
      </w:r>
      <w:r w:rsidR="00593B50">
        <w:t xml:space="preserve">officers will update the </w:t>
      </w:r>
      <w:r>
        <w:t xml:space="preserve">Board’s work programme </w:t>
      </w:r>
      <w:r w:rsidR="00A77B45">
        <w:t>to take account of any member feedback following consideration of the</w:t>
      </w:r>
      <w:r>
        <w:t xml:space="preserve"> LGA </w:t>
      </w:r>
      <w:r w:rsidR="00A77B45">
        <w:t>plan priorities.</w:t>
      </w:r>
    </w:p>
    <w:p w14:paraId="7A29760C" w14:textId="5D20585A" w:rsidR="00C94153" w:rsidRDefault="00FB4A38" w:rsidP="00F359A5">
      <w:pPr>
        <w:pStyle w:val="ListParagraph"/>
        <w:numPr>
          <w:ilvl w:val="0"/>
          <w:numId w:val="26"/>
        </w:numPr>
      </w:pPr>
      <w:r>
        <w:t>Officers will approach other LGA Boards</w:t>
      </w:r>
      <w:r w:rsidR="00812AE6">
        <w:t xml:space="preserve"> where required to discuss shared priorities or </w:t>
      </w:r>
      <w:r>
        <w:t>potential joint work opportunities that members identify</w:t>
      </w:r>
      <w:r w:rsidR="00812AE6">
        <w:t>.</w:t>
      </w:r>
    </w:p>
    <w:sectPr w:rsidR="00C94153" w:rsidSect="00F359A5">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0AA5" w14:textId="77777777" w:rsidR="00CD1A49" w:rsidRDefault="00CD1A49" w:rsidP="00AD62B2">
      <w:r>
        <w:separator/>
      </w:r>
    </w:p>
  </w:endnote>
  <w:endnote w:type="continuationSeparator" w:id="0">
    <w:p w14:paraId="3B9E6DBB" w14:textId="77777777" w:rsidR="00CD1A49" w:rsidRDefault="00CD1A49" w:rsidP="00AD62B2">
      <w:r>
        <w:continuationSeparator/>
      </w:r>
    </w:p>
  </w:endnote>
  <w:endnote w:type="continuationNotice" w:id="1">
    <w:p w14:paraId="20763293" w14:textId="77777777" w:rsidR="00CD1A49" w:rsidRDefault="00CD1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5EF5" w14:textId="77777777" w:rsidR="00CD1A49" w:rsidRDefault="00CD1A49" w:rsidP="00AD62B2">
      <w:r>
        <w:separator/>
      </w:r>
    </w:p>
  </w:footnote>
  <w:footnote w:type="continuationSeparator" w:id="0">
    <w:p w14:paraId="334184FA" w14:textId="77777777" w:rsidR="00CD1A49" w:rsidRDefault="00CD1A49" w:rsidP="00AD62B2">
      <w:r>
        <w:continuationSeparator/>
      </w:r>
    </w:p>
  </w:footnote>
  <w:footnote w:type="continuationNotice" w:id="1">
    <w:p w14:paraId="0A85B7D9" w14:textId="77777777" w:rsidR="00CD1A49" w:rsidRDefault="00CD1A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63BB"/>
    <w:multiLevelType w:val="hybridMultilevel"/>
    <w:tmpl w:val="56DCB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DA6FCF"/>
    <w:multiLevelType w:val="hybridMultilevel"/>
    <w:tmpl w:val="3F78674E"/>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65B48"/>
    <w:multiLevelType w:val="hybridMultilevel"/>
    <w:tmpl w:val="26584C28"/>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95FF9"/>
    <w:multiLevelType w:val="hybridMultilevel"/>
    <w:tmpl w:val="4124548C"/>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70A2A"/>
    <w:multiLevelType w:val="multilevel"/>
    <w:tmpl w:val="2C06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4C5700"/>
    <w:multiLevelType w:val="hybridMultilevel"/>
    <w:tmpl w:val="D2AEE282"/>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2D10C1"/>
    <w:multiLevelType w:val="multilevel"/>
    <w:tmpl w:val="E2E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53E1D"/>
    <w:multiLevelType w:val="hybridMultilevel"/>
    <w:tmpl w:val="22D6AFE4"/>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40EAB"/>
    <w:multiLevelType w:val="hybridMultilevel"/>
    <w:tmpl w:val="F3F8FB1C"/>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05581"/>
    <w:multiLevelType w:val="multilevel"/>
    <w:tmpl w:val="D9BC94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A42CCD"/>
    <w:multiLevelType w:val="hybridMultilevel"/>
    <w:tmpl w:val="585C211C"/>
    <w:lvl w:ilvl="0" w:tplc="7D2EEB86">
      <w:start w:val="1"/>
      <w:numFmt w:val="decimal"/>
      <w:lvlText w:val="%1."/>
      <w:lvlJc w:val="left"/>
      <w:pPr>
        <w:ind w:left="360" w:hanging="360"/>
      </w:pPr>
      <w:rPr>
        <w:b w:val="0"/>
        <w:bCs w:val="0"/>
        <w:color w:val="auto"/>
      </w:rPr>
    </w:lvl>
    <w:lvl w:ilvl="1" w:tplc="F5DEEF0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F31943"/>
    <w:multiLevelType w:val="hybridMultilevel"/>
    <w:tmpl w:val="B5B215A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6" w15:restartNumberingAfterBreak="0">
    <w:nsid w:val="40523CDC"/>
    <w:multiLevelType w:val="hybridMultilevel"/>
    <w:tmpl w:val="BEA67BAC"/>
    <w:lvl w:ilvl="0" w:tplc="08090001">
      <w:start w:val="1"/>
      <w:numFmt w:val="bullet"/>
      <w:lvlText w:val=""/>
      <w:lvlJc w:val="left"/>
      <w:pPr>
        <w:ind w:left="1174" w:hanging="360"/>
      </w:pPr>
      <w:rPr>
        <w:rFonts w:ascii="Symbol" w:hAnsi="Symbol" w:hint="default"/>
      </w:rPr>
    </w:lvl>
    <w:lvl w:ilvl="1" w:tplc="FFFFFFFF">
      <w:numFmt w:val="bullet"/>
      <w:lvlText w:val="•"/>
      <w:lvlJc w:val="left"/>
      <w:pPr>
        <w:ind w:left="1894" w:hanging="360"/>
      </w:pPr>
      <w:rPr>
        <w:rFonts w:ascii="Arial" w:eastAsiaTheme="minorHAnsi" w:hAnsi="Arial" w:cs="Arial"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7"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8BC19BD"/>
    <w:multiLevelType w:val="hybridMultilevel"/>
    <w:tmpl w:val="5106B264"/>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5227A"/>
    <w:multiLevelType w:val="multilevel"/>
    <w:tmpl w:val="8D6C03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B06C2F"/>
    <w:multiLevelType w:val="hybridMultilevel"/>
    <w:tmpl w:val="34CE2272"/>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FF6E1F"/>
    <w:multiLevelType w:val="hybridMultilevel"/>
    <w:tmpl w:val="DB8C455E"/>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468E4"/>
    <w:multiLevelType w:val="hybridMultilevel"/>
    <w:tmpl w:val="6EA2C0C2"/>
    <w:lvl w:ilvl="0" w:tplc="FFFFFFFF">
      <w:start w:val="1"/>
      <w:numFmt w:val="bullet"/>
      <w:lvlText w:val=""/>
      <w:lvlJc w:val="left"/>
      <w:pPr>
        <w:ind w:left="1174" w:hanging="360"/>
      </w:pPr>
      <w:rPr>
        <w:rFonts w:ascii="Symbol" w:hAnsi="Symbol" w:hint="default"/>
      </w:rPr>
    </w:lvl>
    <w:lvl w:ilvl="1" w:tplc="0809000D">
      <w:start w:val="1"/>
      <w:numFmt w:val="bullet"/>
      <w:lvlText w:val=""/>
      <w:lvlJc w:val="left"/>
      <w:pPr>
        <w:ind w:left="1894" w:hanging="360"/>
      </w:pPr>
      <w:rPr>
        <w:rFonts w:ascii="Wingdings" w:hAnsi="Wingdings"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4"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CA206A8"/>
    <w:multiLevelType w:val="hybridMultilevel"/>
    <w:tmpl w:val="3C6C8386"/>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2297997"/>
    <w:multiLevelType w:val="hybridMultilevel"/>
    <w:tmpl w:val="D0247F04"/>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93FBE"/>
    <w:multiLevelType w:val="hybridMultilevel"/>
    <w:tmpl w:val="2E4EAB2C"/>
    <w:lvl w:ilvl="0" w:tplc="0809000F">
      <w:start w:val="1"/>
      <w:numFmt w:val="decimal"/>
      <w:lvlText w:val="%1."/>
      <w:lvlJc w:val="left"/>
      <w:pPr>
        <w:ind w:left="1174" w:hanging="360"/>
      </w:pPr>
    </w:lvl>
    <w:lvl w:ilvl="1" w:tplc="438CD01E">
      <w:numFmt w:val="bullet"/>
      <w:lvlText w:val="•"/>
      <w:lvlJc w:val="left"/>
      <w:pPr>
        <w:ind w:left="1894" w:hanging="360"/>
      </w:pPr>
      <w:rPr>
        <w:rFonts w:ascii="Arial" w:eastAsiaTheme="minorHAnsi" w:hAnsi="Arial" w:cs="Arial" w:hint="default"/>
      </w:r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7F55256F"/>
    <w:multiLevelType w:val="hybridMultilevel"/>
    <w:tmpl w:val="9CCCB6BE"/>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9"/>
  </w:num>
  <w:num w:numId="3">
    <w:abstractNumId w:val="36"/>
  </w:num>
  <w:num w:numId="4">
    <w:abstractNumId w:val="31"/>
  </w:num>
  <w:num w:numId="5">
    <w:abstractNumId w:val="22"/>
  </w:num>
  <w:num w:numId="6">
    <w:abstractNumId w:val="21"/>
  </w:num>
  <w:num w:numId="7">
    <w:abstractNumId w:val="24"/>
  </w:num>
  <w:num w:numId="8">
    <w:abstractNumId w:val="40"/>
  </w:num>
  <w:num w:numId="9">
    <w:abstractNumId w:val="34"/>
  </w:num>
  <w:num w:numId="10">
    <w:abstractNumId w:val="2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5"/>
  </w:num>
  <w:num w:numId="25">
    <w:abstractNumId w:val="26"/>
  </w:num>
  <w:num w:numId="26">
    <w:abstractNumId w:val="23"/>
  </w:num>
  <w:num w:numId="27">
    <w:abstractNumId w:val="33"/>
  </w:num>
  <w:num w:numId="28">
    <w:abstractNumId w:val="12"/>
  </w:num>
  <w:num w:numId="29">
    <w:abstractNumId w:val="32"/>
  </w:num>
  <w:num w:numId="30">
    <w:abstractNumId w:val="19"/>
  </w:num>
  <w:num w:numId="31">
    <w:abstractNumId w:val="37"/>
  </w:num>
  <w:num w:numId="32">
    <w:abstractNumId w:val="15"/>
  </w:num>
  <w:num w:numId="33">
    <w:abstractNumId w:val="11"/>
  </w:num>
  <w:num w:numId="34">
    <w:abstractNumId w:val="28"/>
  </w:num>
  <w:num w:numId="35">
    <w:abstractNumId w:val="13"/>
  </w:num>
  <w:num w:numId="36">
    <w:abstractNumId w:val="41"/>
  </w:num>
  <w:num w:numId="37">
    <w:abstractNumId w:val="30"/>
  </w:num>
  <w:num w:numId="38">
    <w:abstractNumId w:val="18"/>
  </w:num>
  <w:num w:numId="39">
    <w:abstractNumId w:val="35"/>
  </w:num>
  <w:num w:numId="40">
    <w:abstractNumId w:val="17"/>
  </w:num>
  <w:num w:numId="41">
    <w:abstractNumId w:val="14"/>
  </w:num>
  <w:num w:numId="4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243F2"/>
    <w:rsid w:val="000367CF"/>
    <w:rsid w:val="00040250"/>
    <w:rsid w:val="000404B5"/>
    <w:rsid w:val="00042F32"/>
    <w:rsid w:val="000505D5"/>
    <w:rsid w:val="00052698"/>
    <w:rsid w:val="00054B38"/>
    <w:rsid w:val="000563A1"/>
    <w:rsid w:val="00076282"/>
    <w:rsid w:val="00084AE6"/>
    <w:rsid w:val="000902BA"/>
    <w:rsid w:val="000A3930"/>
    <w:rsid w:val="000A46DA"/>
    <w:rsid w:val="000A4721"/>
    <w:rsid w:val="000C083B"/>
    <w:rsid w:val="000C6CE7"/>
    <w:rsid w:val="000D007C"/>
    <w:rsid w:val="000D5D9B"/>
    <w:rsid w:val="000F5D79"/>
    <w:rsid w:val="00101F83"/>
    <w:rsid w:val="001051D0"/>
    <w:rsid w:val="00105C11"/>
    <w:rsid w:val="00112832"/>
    <w:rsid w:val="001215FC"/>
    <w:rsid w:val="00125CDC"/>
    <w:rsid w:val="00125D0E"/>
    <w:rsid w:val="001277AE"/>
    <w:rsid w:val="001349C1"/>
    <w:rsid w:val="001379B6"/>
    <w:rsid w:val="00143FF7"/>
    <w:rsid w:val="00151173"/>
    <w:rsid w:val="001514EA"/>
    <w:rsid w:val="00151EED"/>
    <w:rsid w:val="00153423"/>
    <w:rsid w:val="00154DF0"/>
    <w:rsid w:val="0015534E"/>
    <w:rsid w:val="00157685"/>
    <w:rsid w:val="00160176"/>
    <w:rsid w:val="00161435"/>
    <w:rsid w:val="00162B91"/>
    <w:rsid w:val="001879BE"/>
    <w:rsid w:val="00194699"/>
    <w:rsid w:val="00195A64"/>
    <w:rsid w:val="001B6714"/>
    <w:rsid w:val="001C0B7F"/>
    <w:rsid w:val="001C2D2F"/>
    <w:rsid w:val="001C403B"/>
    <w:rsid w:val="001C6781"/>
    <w:rsid w:val="001C7965"/>
    <w:rsid w:val="001D0BC8"/>
    <w:rsid w:val="001D0E03"/>
    <w:rsid w:val="001E4FE0"/>
    <w:rsid w:val="001E6591"/>
    <w:rsid w:val="001F7251"/>
    <w:rsid w:val="001F77A5"/>
    <w:rsid w:val="0020025E"/>
    <w:rsid w:val="00201BBD"/>
    <w:rsid w:val="00202AA9"/>
    <w:rsid w:val="0020551A"/>
    <w:rsid w:val="002064C3"/>
    <w:rsid w:val="00223371"/>
    <w:rsid w:val="0022517A"/>
    <w:rsid w:val="002269D5"/>
    <w:rsid w:val="00232D02"/>
    <w:rsid w:val="00234EAB"/>
    <w:rsid w:val="0023747C"/>
    <w:rsid w:val="002422C3"/>
    <w:rsid w:val="00254CC6"/>
    <w:rsid w:val="00260CD3"/>
    <w:rsid w:val="0026237A"/>
    <w:rsid w:val="0028316C"/>
    <w:rsid w:val="00292FD7"/>
    <w:rsid w:val="0029377E"/>
    <w:rsid w:val="002954FA"/>
    <w:rsid w:val="0029753A"/>
    <w:rsid w:val="002A7C7F"/>
    <w:rsid w:val="002B6FF9"/>
    <w:rsid w:val="002C7020"/>
    <w:rsid w:val="002C7104"/>
    <w:rsid w:val="002D013E"/>
    <w:rsid w:val="002D1E0D"/>
    <w:rsid w:val="002D4F8A"/>
    <w:rsid w:val="002E3791"/>
    <w:rsid w:val="002E4A10"/>
    <w:rsid w:val="0030031B"/>
    <w:rsid w:val="00302864"/>
    <w:rsid w:val="00305796"/>
    <w:rsid w:val="003137E0"/>
    <w:rsid w:val="00321249"/>
    <w:rsid w:val="00325289"/>
    <w:rsid w:val="00331707"/>
    <w:rsid w:val="003419ED"/>
    <w:rsid w:val="00343447"/>
    <w:rsid w:val="003566B0"/>
    <w:rsid w:val="00357547"/>
    <w:rsid w:val="00363F09"/>
    <w:rsid w:val="00365015"/>
    <w:rsid w:val="00371E87"/>
    <w:rsid w:val="003737D0"/>
    <w:rsid w:val="003757B4"/>
    <w:rsid w:val="00375F9A"/>
    <w:rsid w:val="00376BF0"/>
    <w:rsid w:val="00376FD5"/>
    <w:rsid w:val="00385D68"/>
    <w:rsid w:val="0039168F"/>
    <w:rsid w:val="00393B21"/>
    <w:rsid w:val="00395AD4"/>
    <w:rsid w:val="003A1422"/>
    <w:rsid w:val="003A15A7"/>
    <w:rsid w:val="003A7E51"/>
    <w:rsid w:val="003D1170"/>
    <w:rsid w:val="003D188E"/>
    <w:rsid w:val="003D55B7"/>
    <w:rsid w:val="003E42B8"/>
    <w:rsid w:val="003E78D8"/>
    <w:rsid w:val="003F3A6C"/>
    <w:rsid w:val="003F5E1A"/>
    <w:rsid w:val="00400A51"/>
    <w:rsid w:val="004026A7"/>
    <w:rsid w:val="00412811"/>
    <w:rsid w:val="00425C92"/>
    <w:rsid w:val="00426BD3"/>
    <w:rsid w:val="004325D8"/>
    <w:rsid w:val="00447DCB"/>
    <w:rsid w:val="0045278B"/>
    <w:rsid w:val="0047422A"/>
    <w:rsid w:val="004748F8"/>
    <w:rsid w:val="00475D8E"/>
    <w:rsid w:val="004812FF"/>
    <w:rsid w:val="004813F5"/>
    <w:rsid w:val="00481F27"/>
    <w:rsid w:val="004844F5"/>
    <w:rsid w:val="00486944"/>
    <w:rsid w:val="00493C69"/>
    <w:rsid w:val="00496D21"/>
    <w:rsid w:val="004A550F"/>
    <w:rsid w:val="004B0B49"/>
    <w:rsid w:val="004B2ECA"/>
    <w:rsid w:val="004C0E85"/>
    <w:rsid w:val="004C1903"/>
    <w:rsid w:val="004C31F1"/>
    <w:rsid w:val="004C43C9"/>
    <w:rsid w:val="004C739B"/>
    <w:rsid w:val="004D568F"/>
    <w:rsid w:val="004D736A"/>
    <w:rsid w:val="004E09CD"/>
    <w:rsid w:val="004E20C5"/>
    <w:rsid w:val="004E2432"/>
    <w:rsid w:val="004F68A2"/>
    <w:rsid w:val="00503519"/>
    <w:rsid w:val="00503754"/>
    <w:rsid w:val="00516DF0"/>
    <w:rsid w:val="00523139"/>
    <w:rsid w:val="00526D9F"/>
    <w:rsid w:val="00527D6E"/>
    <w:rsid w:val="005313CF"/>
    <w:rsid w:val="0053346B"/>
    <w:rsid w:val="00535D6E"/>
    <w:rsid w:val="00535DBE"/>
    <w:rsid w:val="005372A7"/>
    <w:rsid w:val="00540C4E"/>
    <w:rsid w:val="00552CFE"/>
    <w:rsid w:val="00553C41"/>
    <w:rsid w:val="00565620"/>
    <w:rsid w:val="005720CE"/>
    <w:rsid w:val="0057403C"/>
    <w:rsid w:val="00584BDE"/>
    <w:rsid w:val="00584D71"/>
    <w:rsid w:val="00593B50"/>
    <w:rsid w:val="005A7236"/>
    <w:rsid w:val="005B0B07"/>
    <w:rsid w:val="005B1A4D"/>
    <w:rsid w:val="005B40FE"/>
    <w:rsid w:val="005C379A"/>
    <w:rsid w:val="005C409E"/>
    <w:rsid w:val="005C7D9E"/>
    <w:rsid w:val="005D08F8"/>
    <w:rsid w:val="005D52A9"/>
    <w:rsid w:val="005D785E"/>
    <w:rsid w:val="005D7A36"/>
    <w:rsid w:val="005E33C0"/>
    <w:rsid w:val="005F1E59"/>
    <w:rsid w:val="005F35B6"/>
    <w:rsid w:val="006069F9"/>
    <w:rsid w:val="00616157"/>
    <w:rsid w:val="00620F69"/>
    <w:rsid w:val="00622CF7"/>
    <w:rsid w:val="00624667"/>
    <w:rsid w:val="00627EC8"/>
    <w:rsid w:val="006306EE"/>
    <w:rsid w:val="00634056"/>
    <w:rsid w:val="006343BC"/>
    <w:rsid w:val="00637846"/>
    <w:rsid w:val="00643FF4"/>
    <w:rsid w:val="00645595"/>
    <w:rsid w:val="006455C6"/>
    <w:rsid w:val="00645C7E"/>
    <w:rsid w:val="00652347"/>
    <w:rsid w:val="00652442"/>
    <w:rsid w:val="006574A6"/>
    <w:rsid w:val="00664ACC"/>
    <w:rsid w:val="006677FB"/>
    <w:rsid w:val="0067291C"/>
    <w:rsid w:val="006731A2"/>
    <w:rsid w:val="00690B8B"/>
    <w:rsid w:val="006A0790"/>
    <w:rsid w:val="006B1898"/>
    <w:rsid w:val="006B543A"/>
    <w:rsid w:val="006C088E"/>
    <w:rsid w:val="006C70DE"/>
    <w:rsid w:val="006E01C7"/>
    <w:rsid w:val="006E33A4"/>
    <w:rsid w:val="006E432A"/>
    <w:rsid w:val="006E55FC"/>
    <w:rsid w:val="006E5EC5"/>
    <w:rsid w:val="006E7C52"/>
    <w:rsid w:val="006F12D2"/>
    <w:rsid w:val="006F1D90"/>
    <w:rsid w:val="006F4292"/>
    <w:rsid w:val="006F4968"/>
    <w:rsid w:val="007012F7"/>
    <w:rsid w:val="00701BA4"/>
    <w:rsid w:val="00711939"/>
    <w:rsid w:val="0071335C"/>
    <w:rsid w:val="0071649C"/>
    <w:rsid w:val="00720DEE"/>
    <w:rsid w:val="007278C2"/>
    <w:rsid w:val="007306F0"/>
    <w:rsid w:val="00731307"/>
    <w:rsid w:val="00740387"/>
    <w:rsid w:val="00744E35"/>
    <w:rsid w:val="00747408"/>
    <w:rsid w:val="007522A4"/>
    <w:rsid w:val="007556A8"/>
    <w:rsid w:val="007566A0"/>
    <w:rsid w:val="0076004F"/>
    <w:rsid w:val="00762786"/>
    <w:rsid w:val="007722AB"/>
    <w:rsid w:val="00772751"/>
    <w:rsid w:val="007845D5"/>
    <w:rsid w:val="007852F1"/>
    <w:rsid w:val="007900ED"/>
    <w:rsid w:val="007918BC"/>
    <w:rsid w:val="0079275D"/>
    <w:rsid w:val="00794A67"/>
    <w:rsid w:val="007A3157"/>
    <w:rsid w:val="007A3FD5"/>
    <w:rsid w:val="007A4D40"/>
    <w:rsid w:val="007B0E3B"/>
    <w:rsid w:val="007B0F24"/>
    <w:rsid w:val="007B1D9E"/>
    <w:rsid w:val="007B6174"/>
    <w:rsid w:val="007B6FFF"/>
    <w:rsid w:val="007C337E"/>
    <w:rsid w:val="007C5863"/>
    <w:rsid w:val="007D2BFD"/>
    <w:rsid w:val="007D335D"/>
    <w:rsid w:val="007D6682"/>
    <w:rsid w:val="007E1B30"/>
    <w:rsid w:val="007F1381"/>
    <w:rsid w:val="007F28E6"/>
    <w:rsid w:val="007F3910"/>
    <w:rsid w:val="007F59BC"/>
    <w:rsid w:val="00803C71"/>
    <w:rsid w:val="00803F83"/>
    <w:rsid w:val="008048EF"/>
    <w:rsid w:val="0080622B"/>
    <w:rsid w:val="00812AE6"/>
    <w:rsid w:val="008200FE"/>
    <w:rsid w:val="00821E3F"/>
    <w:rsid w:val="008332C5"/>
    <w:rsid w:val="00842651"/>
    <w:rsid w:val="00844484"/>
    <w:rsid w:val="00844B31"/>
    <w:rsid w:val="00847148"/>
    <w:rsid w:val="00847890"/>
    <w:rsid w:val="00850411"/>
    <w:rsid w:val="00872EC8"/>
    <w:rsid w:val="00880C7A"/>
    <w:rsid w:val="00882495"/>
    <w:rsid w:val="0088301E"/>
    <w:rsid w:val="00885D1D"/>
    <w:rsid w:val="008905DD"/>
    <w:rsid w:val="0089382D"/>
    <w:rsid w:val="00895969"/>
    <w:rsid w:val="008A5A73"/>
    <w:rsid w:val="008B0E9D"/>
    <w:rsid w:val="008B2E69"/>
    <w:rsid w:val="008B5701"/>
    <w:rsid w:val="008C33DB"/>
    <w:rsid w:val="008C7AEC"/>
    <w:rsid w:val="008E5800"/>
    <w:rsid w:val="008E748E"/>
    <w:rsid w:val="008F3710"/>
    <w:rsid w:val="008F3F9F"/>
    <w:rsid w:val="008F4CC5"/>
    <w:rsid w:val="008F5B31"/>
    <w:rsid w:val="008F5F53"/>
    <w:rsid w:val="008F608D"/>
    <w:rsid w:val="009000B6"/>
    <w:rsid w:val="00902EFF"/>
    <w:rsid w:val="00905BB1"/>
    <w:rsid w:val="00923236"/>
    <w:rsid w:val="00923921"/>
    <w:rsid w:val="00923F56"/>
    <w:rsid w:val="00930D6E"/>
    <w:rsid w:val="00936955"/>
    <w:rsid w:val="00945805"/>
    <w:rsid w:val="00947A99"/>
    <w:rsid w:val="00952689"/>
    <w:rsid w:val="009536BB"/>
    <w:rsid w:val="00953728"/>
    <w:rsid w:val="00955ECA"/>
    <w:rsid w:val="00960AD7"/>
    <w:rsid w:val="00960C59"/>
    <w:rsid w:val="0096147C"/>
    <w:rsid w:val="00963CF5"/>
    <w:rsid w:val="00963DC2"/>
    <w:rsid w:val="00965CDF"/>
    <w:rsid w:val="0096624C"/>
    <w:rsid w:val="009723CF"/>
    <w:rsid w:val="009846C6"/>
    <w:rsid w:val="0098520D"/>
    <w:rsid w:val="00987523"/>
    <w:rsid w:val="009878BD"/>
    <w:rsid w:val="00987B43"/>
    <w:rsid w:val="009A0B06"/>
    <w:rsid w:val="009A2A70"/>
    <w:rsid w:val="009A6C11"/>
    <w:rsid w:val="009B050D"/>
    <w:rsid w:val="009B3151"/>
    <w:rsid w:val="009B6737"/>
    <w:rsid w:val="009C0A70"/>
    <w:rsid w:val="009C5246"/>
    <w:rsid w:val="009C6E89"/>
    <w:rsid w:val="009D274E"/>
    <w:rsid w:val="009D6442"/>
    <w:rsid w:val="009D778C"/>
    <w:rsid w:val="009D77EE"/>
    <w:rsid w:val="009E2623"/>
    <w:rsid w:val="009E3E52"/>
    <w:rsid w:val="009E5E45"/>
    <w:rsid w:val="009E6111"/>
    <w:rsid w:val="009F1F4A"/>
    <w:rsid w:val="009F32C7"/>
    <w:rsid w:val="00A02CAC"/>
    <w:rsid w:val="00A06277"/>
    <w:rsid w:val="00A063BE"/>
    <w:rsid w:val="00A23F2B"/>
    <w:rsid w:val="00A247CC"/>
    <w:rsid w:val="00A2648F"/>
    <w:rsid w:val="00A26506"/>
    <w:rsid w:val="00A26BEA"/>
    <w:rsid w:val="00A42B71"/>
    <w:rsid w:val="00A60982"/>
    <w:rsid w:val="00A77B45"/>
    <w:rsid w:val="00A836F8"/>
    <w:rsid w:val="00AA2CA8"/>
    <w:rsid w:val="00AB01D7"/>
    <w:rsid w:val="00AB56A2"/>
    <w:rsid w:val="00AC2D89"/>
    <w:rsid w:val="00AD62B2"/>
    <w:rsid w:val="00AE33E9"/>
    <w:rsid w:val="00AE3C7A"/>
    <w:rsid w:val="00AF201F"/>
    <w:rsid w:val="00AF421F"/>
    <w:rsid w:val="00B050E1"/>
    <w:rsid w:val="00B06801"/>
    <w:rsid w:val="00B0699A"/>
    <w:rsid w:val="00B101EC"/>
    <w:rsid w:val="00B10AD7"/>
    <w:rsid w:val="00B14707"/>
    <w:rsid w:val="00B223D9"/>
    <w:rsid w:val="00B270C0"/>
    <w:rsid w:val="00B30368"/>
    <w:rsid w:val="00B36626"/>
    <w:rsid w:val="00B43FC6"/>
    <w:rsid w:val="00B56823"/>
    <w:rsid w:val="00B6246C"/>
    <w:rsid w:val="00B632F8"/>
    <w:rsid w:val="00B632FD"/>
    <w:rsid w:val="00B6379A"/>
    <w:rsid w:val="00B675FD"/>
    <w:rsid w:val="00B754E7"/>
    <w:rsid w:val="00B81E51"/>
    <w:rsid w:val="00B826E5"/>
    <w:rsid w:val="00B86060"/>
    <w:rsid w:val="00B872F6"/>
    <w:rsid w:val="00BA10BE"/>
    <w:rsid w:val="00BA5321"/>
    <w:rsid w:val="00BC1F12"/>
    <w:rsid w:val="00BC2867"/>
    <w:rsid w:val="00BC6B2D"/>
    <w:rsid w:val="00BD5521"/>
    <w:rsid w:val="00BE0ACB"/>
    <w:rsid w:val="00BE45DC"/>
    <w:rsid w:val="00BE78C1"/>
    <w:rsid w:val="00BF2BE9"/>
    <w:rsid w:val="00BF2F1E"/>
    <w:rsid w:val="00C13801"/>
    <w:rsid w:val="00C154DD"/>
    <w:rsid w:val="00C22A6C"/>
    <w:rsid w:val="00C233C3"/>
    <w:rsid w:val="00C3419A"/>
    <w:rsid w:val="00C4306C"/>
    <w:rsid w:val="00C51037"/>
    <w:rsid w:val="00C55474"/>
    <w:rsid w:val="00C55AED"/>
    <w:rsid w:val="00C629EB"/>
    <w:rsid w:val="00C64EDF"/>
    <w:rsid w:val="00C7562A"/>
    <w:rsid w:val="00C77025"/>
    <w:rsid w:val="00C80E6F"/>
    <w:rsid w:val="00C84BCF"/>
    <w:rsid w:val="00C871AB"/>
    <w:rsid w:val="00C872BC"/>
    <w:rsid w:val="00C9073A"/>
    <w:rsid w:val="00C92573"/>
    <w:rsid w:val="00C94153"/>
    <w:rsid w:val="00CA5846"/>
    <w:rsid w:val="00CA6CB6"/>
    <w:rsid w:val="00CB3530"/>
    <w:rsid w:val="00CB4352"/>
    <w:rsid w:val="00CC0113"/>
    <w:rsid w:val="00CD1828"/>
    <w:rsid w:val="00CD1A49"/>
    <w:rsid w:val="00CD532B"/>
    <w:rsid w:val="00CD6AA8"/>
    <w:rsid w:val="00CD7586"/>
    <w:rsid w:val="00CE1D9D"/>
    <w:rsid w:val="00CE7ED6"/>
    <w:rsid w:val="00D028ED"/>
    <w:rsid w:val="00D10FCA"/>
    <w:rsid w:val="00D30BBE"/>
    <w:rsid w:val="00D33EA1"/>
    <w:rsid w:val="00D51669"/>
    <w:rsid w:val="00D64C73"/>
    <w:rsid w:val="00D70FE5"/>
    <w:rsid w:val="00D77E6D"/>
    <w:rsid w:val="00D81007"/>
    <w:rsid w:val="00D8425D"/>
    <w:rsid w:val="00D85B10"/>
    <w:rsid w:val="00D9187A"/>
    <w:rsid w:val="00D9190D"/>
    <w:rsid w:val="00D91A5B"/>
    <w:rsid w:val="00D9208A"/>
    <w:rsid w:val="00D9589E"/>
    <w:rsid w:val="00DA13B0"/>
    <w:rsid w:val="00DA5AAB"/>
    <w:rsid w:val="00DB6110"/>
    <w:rsid w:val="00DB707D"/>
    <w:rsid w:val="00DD21BD"/>
    <w:rsid w:val="00DD44F2"/>
    <w:rsid w:val="00DD47BD"/>
    <w:rsid w:val="00DD54A1"/>
    <w:rsid w:val="00E0165F"/>
    <w:rsid w:val="00E01E09"/>
    <w:rsid w:val="00E03F3E"/>
    <w:rsid w:val="00E05E82"/>
    <w:rsid w:val="00E07811"/>
    <w:rsid w:val="00E141F7"/>
    <w:rsid w:val="00E23006"/>
    <w:rsid w:val="00E26074"/>
    <w:rsid w:val="00E4518E"/>
    <w:rsid w:val="00E464EA"/>
    <w:rsid w:val="00E53F9C"/>
    <w:rsid w:val="00E610E1"/>
    <w:rsid w:val="00E618C5"/>
    <w:rsid w:val="00E61E6E"/>
    <w:rsid w:val="00E80BE8"/>
    <w:rsid w:val="00E81AC5"/>
    <w:rsid w:val="00E82156"/>
    <w:rsid w:val="00E84AF3"/>
    <w:rsid w:val="00E85176"/>
    <w:rsid w:val="00E96275"/>
    <w:rsid w:val="00EA6CDB"/>
    <w:rsid w:val="00EB4174"/>
    <w:rsid w:val="00ED1266"/>
    <w:rsid w:val="00ED5BAA"/>
    <w:rsid w:val="00EE48FE"/>
    <w:rsid w:val="00EF1910"/>
    <w:rsid w:val="00F069C8"/>
    <w:rsid w:val="00F075F3"/>
    <w:rsid w:val="00F1013F"/>
    <w:rsid w:val="00F10DE1"/>
    <w:rsid w:val="00F11BF5"/>
    <w:rsid w:val="00F15F1C"/>
    <w:rsid w:val="00F22C64"/>
    <w:rsid w:val="00F24E47"/>
    <w:rsid w:val="00F264F7"/>
    <w:rsid w:val="00F26FDB"/>
    <w:rsid w:val="00F3594F"/>
    <w:rsid w:val="00F359A5"/>
    <w:rsid w:val="00F3746C"/>
    <w:rsid w:val="00F46BAE"/>
    <w:rsid w:val="00F54F92"/>
    <w:rsid w:val="00F6662B"/>
    <w:rsid w:val="00F706F4"/>
    <w:rsid w:val="00F71D90"/>
    <w:rsid w:val="00F71DA9"/>
    <w:rsid w:val="00F770BA"/>
    <w:rsid w:val="00F80AB6"/>
    <w:rsid w:val="00F83049"/>
    <w:rsid w:val="00F867C7"/>
    <w:rsid w:val="00F86C57"/>
    <w:rsid w:val="00FA1A37"/>
    <w:rsid w:val="00FA3617"/>
    <w:rsid w:val="00FA6330"/>
    <w:rsid w:val="00FB2952"/>
    <w:rsid w:val="00FB4A38"/>
    <w:rsid w:val="00FE1983"/>
    <w:rsid w:val="00FE2BBE"/>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F484B275-29C7-40A0-AB65-266642F0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952689"/>
  </w:style>
  <w:style w:type="character" w:customStyle="1" w:styleId="ListParagraphChar">
    <w:name w:val="List Paragraph Char"/>
    <w:basedOn w:val="DefaultParagraphFont"/>
    <w:link w:val="ListParagraph"/>
    <w:uiPriority w:val="34"/>
    <w:locked/>
    <w:rsid w:val="00952689"/>
    <w:rPr>
      <w:rFonts w:ascii="Arial" w:hAnsi="Arial"/>
    </w:rPr>
  </w:style>
  <w:style w:type="character" w:customStyle="1" w:styleId="contextualspellingandgrammarerror">
    <w:name w:val="contextualspellingandgrammarerror"/>
    <w:basedOn w:val="DefaultParagraphFont"/>
    <w:rsid w:val="00952689"/>
  </w:style>
  <w:style w:type="character" w:customStyle="1" w:styleId="normaltextrun1">
    <w:name w:val="normaltextrun1"/>
    <w:basedOn w:val="DefaultParagraphFont"/>
    <w:rsid w:val="00952689"/>
  </w:style>
  <w:style w:type="character" w:customStyle="1" w:styleId="eop">
    <w:name w:val="eop"/>
    <w:basedOn w:val="DefaultParagraphFont"/>
    <w:rsid w:val="00952689"/>
  </w:style>
  <w:style w:type="table" w:customStyle="1" w:styleId="TableGrid1">
    <w:name w:val="Table Grid1"/>
    <w:basedOn w:val="TableNormal"/>
    <w:next w:val="TableGrid"/>
    <w:uiPriority w:val="39"/>
    <w:rsid w:val="000D5D9B"/>
    <w:pPr>
      <w:spacing w:before="0" w:after="0" w:line="240" w:lineRule="auto"/>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42514754">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2307499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7625698">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855538714">
      <w:bodyDiv w:val="1"/>
      <w:marLeft w:val="0"/>
      <w:marRight w:val="0"/>
      <w:marTop w:val="0"/>
      <w:marBottom w:val="0"/>
      <w:divBdr>
        <w:top w:val="none" w:sz="0" w:space="0" w:color="auto"/>
        <w:left w:val="none" w:sz="0" w:space="0" w:color="auto"/>
        <w:bottom w:val="none" w:sz="0" w:space="0" w:color="auto"/>
        <w:right w:val="none" w:sz="0" w:space="0" w:color="auto"/>
      </w:divBdr>
    </w:div>
    <w:div w:id="1910924149">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norris@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E79A1FCA-EBE4-44FB-A70B-5CC6B418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11612</CharactersWithSpaces>
  <SharedDoc>false</SharedDoc>
  <HLinks>
    <vt:vector size="18" baseType="variant">
      <vt:variant>
        <vt:i4>1900631</vt:i4>
      </vt:variant>
      <vt:variant>
        <vt:i4>6</vt:i4>
      </vt:variant>
      <vt:variant>
        <vt:i4>0</vt:i4>
      </vt:variant>
      <vt:variant>
        <vt:i4>5</vt:i4>
      </vt:variant>
      <vt:variant>
        <vt:lpwstr>https://www.local.gov.uk/publications/lga-business-plan-2022-2025</vt:lpwstr>
      </vt:variant>
      <vt:variant>
        <vt:lpwstr>our-business-how-we-work</vt:lpwstr>
      </vt:variant>
      <vt:variant>
        <vt:i4>3801108</vt:i4>
      </vt:variant>
      <vt:variant>
        <vt:i4>3</vt:i4>
      </vt:variant>
      <vt:variant>
        <vt:i4>0</vt:i4>
      </vt:variant>
      <vt:variant>
        <vt:i4>5</vt:i4>
      </vt:variant>
      <vt:variant>
        <vt:lpwstr>mailto:mark.norris@local.gov.uk</vt:lpwstr>
      </vt:variant>
      <vt:variant>
        <vt:lpwstr/>
      </vt:variant>
      <vt:variant>
        <vt:i4>1900631</vt:i4>
      </vt:variant>
      <vt:variant>
        <vt:i4>0</vt:i4>
      </vt:variant>
      <vt:variant>
        <vt:i4>0</vt:i4>
      </vt:variant>
      <vt:variant>
        <vt:i4>5</vt:i4>
      </vt:variant>
      <vt:variant>
        <vt:lpwstr>https://www.local.gov.uk/publications/lga-business-plan-2022-2025</vt:lpwstr>
      </vt:variant>
      <vt:variant>
        <vt:lpwstr>our-business-how-we-work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3</cp:revision>
  <dcterms:created xsi:type="dcterms:W3CDTF">2022-11-04T15:49:00Z</dcterms:created>
  <dcterms:modified xsi:type="dcterms:W3CDTF">2022-11-04T16:23:00Z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